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92"/>
        <w:gridCol w:w="1892"/>
        <w:gridCol w:w="6671"/>
        <w:gridCol w:w="3021"/>
      </w:tblGrid>
      <w:tr w:rsidR="003B6EFE" w:rsidTr="000770A2">
        <w:tc>
          <w:tcPr>
            <w:tcW w:w="13176" w:type="dxa"/>
            <w:gridSpan w:val="4"/>
          </w:tcPr>
          <w:p w:rsidR="003B6EFE" w:rsidRDefault="009F21FD" w:rsidP="003B6EFE">
            <w:pPr>
              <w:jc w:val="center"/>
              <w:rPr>
                <w:b/>
                <w:sz w:val="28"/>
                <w:szCs w:val="28"/>
              </w:rPr>
            </w:pPr>
            <w:r>
              <w:rPr>
                <w:b/>
                <w:sz w:val="28"/>
                <w:szCs w:val="28"/>
              </w:rPr>
              <w:t>MECHANICAL</w:t>
            </w:r>
          </w:p>
          <w:p w:rsidR="003B6EFE" w:rsidRDefault="003B6EFE" w:rsidP="003B6EFE">
            <w:pPr>
              <w:jc w:val="center"/>
              <w:rPr>
                <w:b/>
                <w:sz w:val="20"/>
                <w:szCs w:val="20"/>
              </w:rPr>
            </w:pPr>
            <w:r>
              <w:rPr>
                <w:b/>
                <w:sz w:val="20"/>
                <w:szCs w:val="20"/>
              </w:rPr>
              <w:t>TAC ACTION/Votes</w:t>
            </w:r>
          </w:p>
          <w:p w:rsidR="003B6EFE" w:rsidRDefault="003B6EFE" w:rsidP="003B6EFE">
            <w:pPr>
              <w:jc w:val="center"/>
              <w:rPr>
                <w:b/>
                <w:sz w:val="20"/>
                <w:szCs w:val="20"/>
              </w:rPr>
            </w:pPr>
            <w:r>
              <w:rPr>
                <w:b/>
                <w:sz w:val="20"/>
                <w:szCs w:val="20"/>
              </w:rPr>
              <w:t>Local Technical amendments</w:t>
            </w:r>
          </w:p>
          <w:p w:rsidR="003B6EFE" w:rsidRDefault="003B6EFE" w:rsidP="003B6EFE">
            <w:pPr>
              <w:jc w:val="center"/>
              <w:rPr>
                <w:b/>
                <w:sz w:val="20"/>
                <w:szCs w:val="20"/>
              </w:rPr>
            </w:pPr>
            <w:r>
              <w:rPr>
                <w:b/>
                <w:sz w:val="20"/>
                <w:szCs w:val="20"/>
              </w:rPr>
              <w:t>to the</w:t>
            </w:r>
          </w:p>
          <w:p w:rsidR="003B6EFE" w:rsidRPr="003B6EFE" w:rsidRDefault="003B6EFE" w:rsidP="003B6EFE">
            <w:pPr>
              <w:jc w:val="center"/>
              <w:rPr>
                <w:sz w:val="20"/>
                <w:szCs w:val="20"/>
              </w:rPr>
            </w:pPr>
            <w:r>
              <w:rPr>
                <w:b/>
                <w:sz w:val="20"/>
                <w:szCs w:val="20"/>
              </w:rPr>
              <w:t>2020 7</w:t>
            </w:r>
            <w:r w:rsidRPr="003B6EFE">
              <w:rPr>
                <w:b/>
                <w:sz w:val="20"/>
                <w:szCs w:val="20"/>
                <w:vertAlign w:val="superscript"/>
              </w:rPr>
              <w:t>th</w:t>
            </w:r>
            <w:r>
              <w:rPr>
                <w:b/>
                <w:sz w:val="20"/>
                <w:szCs w:val="20"/>
              </w:rPr>
              <w:t xml:space="preserve"> Edition Florida Building Code</w:t>
            </w:r>
          </w:p>
        </w:tc>
      </w:tr>
      <w:tr w:rsidR="00F15932" w:rsidTr="000770A2">
        <w:trPr>
          <w:trHeight w:val="251"/>
        </w:trPr>
        <w:tc>
          <w:tcPr>
            <w:tcW w:w="1592" w:type="dxa"/>
            <w:shd w:val="clear" w:color="auto" w:fill="A6A6A6" w:themeFill="background1" w:themeFillShade="A6"/>
          </w:tcPr>
          <w:p w:rsidR="003B6EFE" w:rsidRPr="00F15932" w:rsidRDefault="003B6EFE">
            <w:pPr>
              <w:rPr>
                <w:sz w:val="16"/>
                <w:szCs w:val="16"/>
              </w:rPr>
            </w:pPr>
          </w:p>
        </w:tc>
        <w:tc>
          <w:tcPr>
            <w:tcW w:w="1892" w:type="dxa"/>
            <w:shd w:val="clear" w:color="auto" w:fill="A6A6A6" w:themeFill="background1" w:themeFillShade="A6"/>
          </w:tcPr>
          <w:p w:rsidR="003B6EFE" w:rsidRPr="00F15932" w:rsidRDefault="003B6EFE">
            <w:pPr>
              <w:rPr>
                <w:sz w:val="16"/>
                <w:szCs w:val="16"/>
              </w:rPr>
            </w:pPr>
          </w:p>
        </w:tc>
        <w:tc>
          <w:tcPr>
            <w:tcW w:w="6671" w:type="dxa"/>
            <w:shd w:val="clear" w:color="auto" w:fill="A6A6A6" w:themeFill="background1" w:themeFillShade="A6"/>
          </w:tcPr>
          <w:p w:rsidR="003B6EFE" w:rsidRPr="00F15932" w:rsidRDefault="003B6EFE">
            <w:pPr>
              <w:rPr>
                <w:sz w:val="16"/>
                <w:szCs w:val="16"/>
              </w:rPr>
            </w:pPr>
          </w:p>
        </w:tc>
        <w:tc>
          <w:tcPr>
            <w:tcW w:w="3021" w:type="dxa"/>
            <w:shd w:val="clear" w:color="auto" w:fill="A6A6A6" w:themeFill="background1" w:themeFillShade="A6"/>
          </w:tcPr>
          <w:p w:rsidR="003B6EFE" w:rsidRPr="00F15932" w:rsidRDefault="003B6EFE">
            <w:pPr>
              <w:rPr>
                <w:sz w:val="16"/>
                <w:szCs w:val="16"/>
              </w:rPr>
            </w:pPr>
          </w:p>
        </w:tc>
      </w:tr>
      <w:tr w:rsidR="003B6EFE" w:rsidTr="000770A2">
        <w:trPr>
          <w:trHeight w:val="422"/>
        </w:trPr>
        <w:tc>
          <w:tcPr>
            <w:tcW w:w="1592" w:type="dxa"/>
            <w:vAlign w:val="center"/>
          </w:tcPr>
          <w:p w:rsidR="003B6EFE" w:rsidRPr="00E86950" w:rsidRDefault="003B6EFE" w:rsidP="003B6EFE">
            <w:pPr>
              <w:jc w:val="center"/>
              <w:rPr>
                <w:b/>
                <w:sz w:val="20"/>
                <w:szCs w:val="20"/>
              </w:rPr>
            </w:pPr>
            <w:r w:rsidRPr="00E86950">
              <w:rPr>
                <w:b/>
                <w:sz w:val="20"/>
                <w:szCs w:val="20"/>
              </w:rPr>
              <w:t>JURISDICTION</w:t>
            </w:r>
          </w:p>
        </w:tc>
        <w:tc>
          <w:tcPr>
            <w:tcW w:w="1892" w:type="dxa"/>
            <w:vAlign w:val="center"/>
          </w:tcPr>
          <w:p w:rsidR="003B6EFE" w:rsidRPr="00E86950" w:rsidRDefault="003B6EFE" w:rsidP="003B6EFE">
            <w:pPr>
              <w:jc w:val="center"/>
              <w:rPr>
                <w:b/>
              </w:rPr>
            </w:pPr>
            <w:r w:rsidRPr="00E86950">
              <w:rPr>
                <w:b/>
              </w:rPr>
              <w:t>DOCUMENT with TECHNICAL AMENDMENT</w:t>
            </w:r>
          </w:p>
        </w:tc>
        <w:tc>
          <w:tcPr>
            <w:tcW w:w="6671" w:type="dxa"/>
            <w:vAlign w:val="center"/>
          </w:tcPr>
          <w:p w:rsidR="003B6EFE" w:rsidRPr="00E86950" w:rsidRDefault="003B6EFE" w:rsidP="003B6EFE">
            <w:pPr>
              <w:jc w:val="center"/>
              <w:rPr>
                <w:b/>
              </w:rPr>
            </w:pPr>
            <w:r w:rsidRPr="00E86950">
              <w:rPr>
                <w:b/>
              </w:rPr>
              <w:t>SUMMARY OF TECHNICAL AMENDMENT</w:t>
            </w:r>
          </w:p>
        </w:tc>
        <w:tc>
          <w:tcPr>
            <w:tcW w:w="3021" w:type="dxa"/>
            <w:vAlign w:val="center"/>
          </w:tcPr>
          <w:p w:rsidR="003B6EFE" w:rsidRPr="00E86950" w:rsidRDefault="003B6EFE" w:rsidP="003B6EFE">
            <w:pPr>
              <w:jc w:val="center"/>
              <w:rPr>
                <w:b/>
              </w:rPr>
            </w:pPr>
            <w:r w:rsidRPr="00E86950">
              <w:rPr>
                <w:b/>
              </w:rPr>
              <w:t>TAC ACTION/VOTE</w:t>
            </w:r>
          </w:p>
        </w:tc>
      </w:tr>
      <w:tr w:rsidR="003B6EFE" w:rsidTr="000770A2">
        <w:trPr>
          <w:trHeight w:val="170"/>
        </w:trPr>
        <w:tc>
          <w:tcPr>
            <w:tcW w:w="1592" w:type="dxa"/>
            <w:shd w:val="clear" w:color="auto" w:fill="A6A6A6" w:themeFill="background1" w:themeFillShade="A6"/>
            <w:vAlign w:val="center"/>
          </w:tcPr>
          <w:p w:rsidR="003B6EFE" w:rsidRPr="00F15932" w:rsidRDefault="003B6EFE" w:rsidP="003B6EFE">
            <w:pPr>
              <w:jc w:val="center"/>
              <w:rPr>
                <w:sz w:val="16"/>
                <w:szCs w:val="16"/>
              </w:rPr>
            </w:pPr>
          </w:p>
        </w:tc>
        <w:tc>
          <w:tcPr>
            <w:tcW w:w="1892" w:type="dxa"/>
            <w:shd w:val="clear" w:color="auto" w:fill="A6A6A6" w:themeFill="background1" w:themeFillShade="A6"/>
            <w:vAlign w:val="center"/>
          </w:tcPr>
          <w:p w:rsidR="003B6EFE" w:rsidRPr="00F15932" w:rsidRDefault="003B6EFE" w:rsidP="003B6EFE">
            <w:pPr>
              <w:jc w:val="center"/>
              <w:rPr>
                <w:sz w:val="16"/>
                <w:szCs w:val="16"/>
              </w:rPr>
            </w:pPr>
          </w:p>
        </w:tc>
        <w:tc>
          <w:tcPr>
            <w:tcW w:w="6671" w:type="dxa"/>
            <w:shd w:val="clear" w:color="auto" w:fill="A6A6A6" w:themeFill="background1" w:themeFillShade="A6"/>
            <w:vAlign w:val="center"/>
          </w:tcPr>
          <w:p w:rsidR="003B6EFE" w:rsidRPr="00F15932" w:rsidRDefault="003B6EFE" w:rsidP="003B6EFE">
            <w:pPr>
              <w:jc w:val="center"/>
              <w:rPr>
                <w:sz w:val="16"/>
                <w:szCs w:val="16"/>
              </w:rPr>
            </w:pPr>
          </w:p>
        </w:tc>
        <w:tc>
          <w:tcPr>
            <w:tcW w:w="3021" w:type="dxa"/>
            <w:shd w:val="clear" w:color="auto" w:fill="A6A6A6" w:themeFill="background1" w:themeFillShade="A6"/>
            <w:vAlign w:val="center"/>
          </w:tcPr>
          <w:p w:rsidR="003B6EFE" w:rsidRPr="00F15932" w:rsidRDefault="003B6EFE" w:rsidP="003B6EFE">
            <w:pPr>
              <w:jc w:val="center"/>
              <w:rPr>
                <w:sz w:val="16"/>
                <w:szCs w:val="16"/>
              </w:rPr>
            </w:pPr>
          </w:p>
        </w:tc>
      </w:tr>
      <w:tr w:rsidR="003B6EFE" w:rsidTr="000770A2">
        <w:tc>
          <w:tcPr>
            <w:tcW w:w="1592" w:type="dxa"/>
            <w:vAlign w:val="center"/>
          </w:tcPr>
          <w:p w:rsidR="003B6EFE" w:rsidRDefault="009F21FD" w:rsidP="002B0E65">
            <w:pPr>
              <w:jc w:val="center"/>
              <w:rPr>
                <w:rFonts w:ascii="Calibri" w:hAnsi="Calibri" w:cs="Calibri"/>
                <w:sz w:val="20"/>
                <w:szCs w:val="20"/>
              </w:rPr>
            </w:pPr>
            <w:r>
              <w:rPr>
                <w:rFonts w:ascii="Calibri" w:hAnsi="Calibri" w:cs="Calibri"/>
                <w:sz w:val="20"/>
                <w:szCs w:val="20"/>
              </w:rPr>
              <w:t>Pinellas County Construction Industry Licensing Board</w:t>
            </w:r>
          </w:p>
          <w:p w:rsidR="009F21FD" w:rsidRPr="003B6EFE" w:rsidRDefault="009F21FD" w:rsidP="002B0E65">
            <w:pPr>
              <w:jc w:val="center"/>
              <w:rPr>
                <w:sz w:val="20"/>
                <w:szCs w:val="20"/>
              </w:rPr>
            </w:pPr>
            <w:r>
              <w:rPr>
                <w:rFonts w:ascii="Calibri" w:hAnsi="Calibri" w:cs="Calibri"/>
                <w:sz w:val="20"/>
                <w:szCs w:val="20"/>
              </w:rPr>
              <w:t>(PCCLB)</w:t>
            </w:r>
          </w:p>
        </w:tc>
        <w:tc>
          <w:tcPr>
            <w:tcW w:w="1892" w:type="dxa"/>
            <w:vAlign w:val="center"/>
          </w:tcPr>
          <w:p w:rsidR="009F21FD" w:rsidRPr="009F21FD" w:rsidRDefault="009F21FD" w:rsidP="009F21FD">
            <w:pPr>
              <w:jc w:val="center"/>
              <w:rPr>
                <w:sz w:val="20"/>
                <w:szCs w:val="20"/>
              </w:rPr>
            </w:pPr>
            <w:r w:rsidRPr="009F21FD">
              <w:rPr>
                <w:sz w:val="20"/>
                <w:szCs w:val="20"/>
              </w:rPr>
              <w:t>FBC –</w:t>
            </w:r>
          </w:p>
          <w:p w:rsidR="00C8156B" w:rsidRPr="009F21FD" w:rsidRDefault="00C8156B" w:rsidP="00C8156B">
            <w:pPr>
              <w:jc w:val="center"/>
              <w:rPr>
                <w:sz w:val="20"/>
                <w:szCs w:val="20"/>
              </w:rPr>
            </w:pPr>
            <w:r>
              <w:rPr>
                <w:sz w:val="20"/>
                <w:szCs w:val="20"/>
              </w:rPr>
              <w:t xml:space="preserve">Residential </w:t>
            </w:r>
            <w:r w:rsidR="009F21FD" w:rsidRPr="009F21FD">
              <w:rPr>
                <w:sz w:val="20"/>
                <w:szCs w:val="20"/>
              </w:rPr>
              <w:t xml:space="preserve"> </w:t>
            </w:r>
          </w:p>
          <w:p w:rsidR="009F21FD" w:rsidRPr="009F21FD" w:rsidRDefault="009F21FD" w:rsidP="009F21FD">
            <w:pPr>
              <w:jc w:val="center"/>
              <w:rPr>
                <w:sz w:val="20"/>
                <w:szCs w:val="20"/>
              </w:rPr>
            </w:pPr>
            <w:r w:rsidRPr="009F21FD">
              <w:rPr>
                <w:sz w:val="20"/>
                <w:szCs w:val="20"/>
              </w:rPr>
              <w:t>M1411</w:t>
            </w:r>
            <w:r w:rsidR="00C8156B">
              <w:rPr>
                <w:sz w:val="20"/>
                <w:szCs w:val="20"/>
              </w:rPr>
              <w:t>.3</w:t>
            </w:r>
          </w:p>
          <w:p w:rsidR="000121C4" w:rsidRPr="003B6EFE" w:rsidRDefault="000121C4" w:rsidP="009F21FD">
            <w:pPr>
              <w:jc w:val="center"/>
              <w:rPr>
                <w:sz w:val="20"/>
                <w:szCs w:val="20"/>
              </w:rPr>
            </w:pPr>
          </w:p>
        </w:tc>
        <w:tc>
          <w:tcPr>
            <w:tcW w:w="6671" w:type="dxa"/>
            <w:vAlign w:val="center"/>
          </w:tcPr>
          <w:p w:rsidR="009F21FD" w:rsidRPr="009F21FD" w:rsidRDefault="009F21FD" w:rsidP="009F21FD">
            <w:pPr>
              <w:rPr>
                <w:sz w:val="20"/>
                <w:szCs w:val="20"/>
                <w:u w:val="single"/>
              </w:rPr>
            </w:pPr>
            <w:bookmarkStart w:id="0" w:name="1-MECHANICAL-Local_Amend-Matrix-With-Det"/>
            <w:bookmarkEnd w:id="0"/>
            <w:r w:rsidRPr="009F21FD">
              <w:rPr>
                <w:sz w:val="20"/>
                <w:szCs w:val="20"/>
                <w:u w:val="single"/>
              </w:rPr>
              <w:t xml:space="preserve">M1411.3 Condensate disposal. Condensate from cooling coils and evaporators shall be conveyed from the drain pan outlet to an approved place of disposal. Such piping shall maintain a minimum horizontal slope in the direction of discharge of not less than 1/8 unit vertical in 12 </w:t>
            </w:r>
            <w:proofErr w:type="gramStart"/>
            <w:r w:rsidRPr="009F21FD">
              <w:rPr>
                <w:sz w:val="20"/>
                <w:szCs w:val="20"/>
                <w:u w:val="single"/>
              </w:rPr>
              <w:t>units</w:t>
            </w:r>
            <w:proofErr w:type="gramEnd"/>
            <w:r w:rsidRPr="009F21FD">
              <w:rPr>
                <w:sz w:val="20"/>
                <w:szCs w:val="20"/>
                <w:u w:val="single"/>
              </w:rPr>
              <w:t xml:space="preserve"> horizontal (1-percent slope). Condensate shall not discharge into a street, alley or other areas where it would cause a nuisance. All primary condensate drain lines installed within unconditioned areas shall be insulated with insulation having a thermal resistivity of not less than R-3. Local Conditions and Need: This amendment requires</w:t>
            </w:r>
            <w:r w:rsidR="00B83644">
              <w:rPr>
                <w:sz w:val="20"/>
                <w:szCs w:val="20"/>
                <w:u w:val="single"/>
              </w:rPr>
              <w:t xml:space="preserve"> all horizontal primary condens</w:t>
            </w:r>
            <w:r w:rsidR="00B83644" w:rsidRPr="009F21FD">
              <w:rPr>
                <w:sz w:val="20"/>
                <w:szCs w:val="20"/>
                <w:u w:val="single"/>
              </w:rPr>
              <w:t>ate</w:t>
            </w:r>
            <w:r w:rsidRPr="009F21FD">
              <w:rPr>
                <w:sz w:val="20"/>
                <w:szCs w:val="20"/>
                <w:u w:val="single"/>
              </w:rPr>
              <w:t xml:space="preserve"> drain within</w:t>
            </w:r>
          </w:p>
          <w:p w:rsidR="009F21FD" w:rsidRPr="009F21FD" w:rsidRDefault="009F21FD" w:rsidP="009F21FD">
            <w:pPr>
              <w:rPr>
                <w:sz w:val="20"/>
                <w:szCs w:val="20"/>
                <w:u w:val="single"/>
              </w:rPr>
            </w:pPr>
            <w:proofErr w:type="gramStart"/>
            <w:r w:rsidRPr="009F21FD">
              <w:rPr>
                <w:sz w:val="20"/>
                <w:szCs w:val="20"/>
                <w:u w:val="single"/>
              </w:rPr>
              <w:t>unconditioned</w:t>
            </w:r>
            <w:proofErr w:type="gramEnd"/>
            <w:r w:rsidRPr="009F21FD">
              <w:rPr>
                <w:sz w:val="20"/>
                <w:szCs w:val="20"/>
                <w:u w:val="single"/>
              </w:rPr>
              <w:t xml:space="preserve"> areas shall be insulated.</w:t>
            </w:r>
          </w:p>
          <w:p w:rsidR="00402711" w:rsidRPr="00402711" w:rsidRDefault="00402711" w:rsidP="000121C4">
            <w:pPr>
              <w:rPr>
                <w:sz w:val="20"/>
                <w:szCs w:val="20"/>
                <w:u w:val="single"/>
              </w:rPr>
            </w:pPr>
          </w:p>
        </w:tc>
        <w:tc>
          <w:tcPr>
            <w:tcW w:w="3021" w:type="dxa"/>
            <w:vAlign w:val="center"/>
          </w:tcPr>
          <w:p w:rsidR="003B6EFE" w:rsidRDefault="00226BB2" w:rsidP="003B6EFE">
            <w:pPr>
              <w:jc w:val="center"/>
              <w:rPr>
                <w:b/>
                <w:sz w:val="20"/>
                <w:szCs w:val="20"/>
              </w:rPr>
            </w:pPr>
            <w:r w:rsidRPr="00226BB2">
              <w:rPr>
                <w:b/>
                <w:sz w:val="20"/>
                <w:szCs w:val="20"/>
              </w:rPr>
              <w:t xml:space="preserve"> </w:t>
            </w:r>
            <w:proofErr w:type="spellStart"/>
            <w:r>
              <w:rPr>
                <w:b/>
                <w:sz w:val="20"/>
                <w:szCs w:val="20"/>
              </w:rPr>
              <w:t>Calleja</w:t>
            </w:r>
            <w:proofErr w:type="spellEnd"/>
            <w:r>
              <w:rPr>
                <w:b/>
                <w:sz w:val="20"/>
                <w:szCs w:val="20"/>
              </w:rPr>
              <w:t xml:space="preserve"> to Deny  2</w:t>
            </w:r>
            <w:r w:rsidRPr="00226BB2">
              <w:rPr>
                <w:b/>
                <w:sz w:val="20"/>
                <w:szCs w:val="20"/>
                <w:vertAlign w:val="superscript"/>
              </w:rPr>
              <w:t>nd</w:t>
            </w:r>
            <w:r>
              <w:rPr>
                <w:b/>
                <w:sz w:val="20"/>
                <w:szCs w:val="20"/>
              </w:rPr>
              <w:t xml:space="preserve"> Pittman</w:t>
            </w:r>
            <w:r w:rsidRPr="00226BB2">
              <w:rPr>
                <w:b/>
                <w:sz w:val="20"/>
                <w:szCs w:val="20"/>
              </w:rPr>
              <w:t xml:space="preserve"> </w:t>
            </w:r>
            <w:r w:rsidR="00F15932" w:rsidRPr="00226BB2">
              <w:rPr>
                <w:b/>
                <w:sz w:val="20"/>
                <w:szCs w:val="20"/>
              </w:rPr>
              <w:t>VOTE:</w:t>
            </w:r>
            <w:r>
              <w:rPr>
                <w:b/>
                <w:sz w:val="20"/>
                <w:szCs w:val="20"/>
              </w:rPr>
              <w:t xml:space="preserve"> 10 Yes – 0 No</w:t>
            </w:r>
          </w:p>
          <w:p w:rsidR="00B21C57" w:rsidRDefault="00B21C57" w:rsidP="003B6EFE">
            <w:pPr>
              <w:jc w:val="center"/>
              <w:rPr>
                <w:b/>
                <w:sz w:val="20"/>
                <w:szCs w:val="20"/>
              </w:rPr>
            </w:pP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b/>
              </w:rPr>
            </w:pPr>
            <w:r w:rsidRPr="00B21C57">
              <w:rPr>
                <w:b/>
              </w:rPr>
              <w:t xml:space="preserve">Commission Action to Deny </w:t>
            </w: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eastAsia="Times New Roman" w:hAnsi="Arial" w:cs="Arial"/>
                <w:b/>
                <w:color w:val="000000"/>
                <w:kern w:val="2"/>
                <w:sz w:val="19"/>
                <w:szCs w:val="24"/>
              </w:rPr>
            </w:pPr>
            <w:r w:rsidRPr="00B21C57">
              <w:rPr>
                <w:b/>
              </w:rPr>
              <w:t>Vote: 13 Yes – 0 No</w:t>
            </w:r>
          </w:p>
          <w:p w:rsidR="00B21C57" w:rsidRPr="00226BB2" w:rsidRDefault="00B21C57" w:rsidP="003B6EFE">
            <w:pPr>
              <w:jc w:val="center"/>
              <w:rPr>
                <w:b/>
                <w:sz w:val="20"/>
                <w:szCs w:val="20"/>
              </w:rPr>
            </w:pPr>
          </w:p>
        </w:tc>
      </w:tr>
      <w:tr w:rsidR="003B6EFE" w:rsidTr="000770A2">
        <w:trPr>
          <w:trHeight w:val="161"/>
        </w:trPr>
        <w:tc>
          <w:tcPr>
            <w:tcW w:w="1592" w:type="dxa"/>
            <w:shd w:val="clear" w:color="auto" w:fill="BFBFBF" w:themeFill="background1" w:themeFillShade="BF"/>
            <w:vAlign w:val="center"/>
          </w:tcPr>
          <w:p w:rsidR="003B6EFE" w:rsidRPr="00F15932" w:rsidRDefault="003B6EFE" w:rsidP="003B6EFE">
            <w:pPr>
              <w:jc w:val="center"/>
              <w:rPr>
                <w:sz w:val="16"/>
                <w:szCs w:val="16"/>
              </w:rPr>
            </w:pPr>
          </w:p>
        </w:tc>
        <w:tc>
          <w:tcPr>
            <w:tcW w:w="1892" w:type="dxa"/>
            <w:shd w:val="clear" w:color="auto" w:fill="BFBFBF" w:themeFill="background1" w:themeFillShade="BF"/>
            <w:vAlign w:val="center"/>
          </w:tcPr>
          <w:p w:rsidR="003B6EFE" w:rsidRPr="00F15932" w:rsidRDefault="003B6EFE" w:rsidP="003B6EFE">
            <w:pPr>
              <w:jc w:val="center"/>
              <w:rPr>
                <w:sz w:val="16"/>
                <w:szCs w:val="16"/>
              </w:rPr>
            </w:pPr>
          </w:p>
        </w:tc>
        <w:tc>
          <w:tcPr>
            <w:tcW w:w="6671" w:type="dxa"/>
            <w:shd w:val="clear" w:color="auto" w:fill="BFBFBF" w:themeFill="background1" w:themeFillShade="BF"/>
            <w:vAlign w:val="center"/>
          </w:tcPr>
          <w:p w:rsidR="003B6EFE" w:rsidRPr="00F15932" w:rsidRDefault="003B6EFE" w:rsidP="003B6EFE">
            <w:pPr>
              <w:jc w:val="center"/>
              <w:rPr>
                <w:sz w:val="16"/>
                <w:szCs w:val="16"/>
              </w:rPr>
            </w:pPr>
          </w:p>
        </w:tc>
        <w:tc>
          <w:tcPr>
            <w:tcW w:w="3021" w:type="dxa"/>
            <w:shd w:val="clear" w:color="auto" w:fill="BFBFBF" w:themeFill="background1" w:themeFillShade="BF"/>
            <w:vAlign w:val="center"/>
          </w:tcPr>
          <w:p w:rsidR="003B6EFE" w:rsidRPr="00F15932" w:rsidRDefault="003B6EFE" w:rsidP="003B6EFE">
            <w:pPr>
              <w:jc w:val="center"/>
              <w:rPr>
                <w:sz w:val="16"/>
                <w:szCs w:val="16"/>
              </w:rPr>
            </w:pPr>
          </w:p>
        </w:tc>
      </w:tr>
      <w:tr w:rsidR="003B6EFE" w:rsidTr="000770A2">
        <w:tc>
          <w:tcPr>
            <w:tcW w:w="1592" w:type="dxa"/>
            <w:vAlign w:val="center"/>
          </w:tcPr>
          <w:p w:rsidR="009F21FD" w:rsidRPr="009F21FD" w:rsidRDefault="009F21FD" w:rsidP="009F21FD">
            <w:pPr>
              <w:jc w:val="center"/>
            </w:pPr>
            <w:r w:rsidRPr="009F21FD">
              <w:t>County of Broward</w:t>
            </w:r>
          </w:p>
          <w:p w:rsidR="00E86950" w:rsidRDefault="000121C4" w:rsidP="003B6EFE">
            <w:pPr>
              <w:jc w:val="center"/>
            </w:pPr>
            <w:r>
              <w:t xml:space="preserve"> </w:t>
            </w:r>
          </w:p>
        </w:tc>
        <w:tc>
          <w:tcPr>
            <w:tcW w:w="1892" w:type="dxa"/>
            <w:vAlign w:val="center"/>
          </w:tcPr>
          <w:p w:rsidR="009F21FD" w:rsidRPr="009F21FD" w:rsidRDefault="00C8156B" w:rsidP="009F21FD">
            <w:pPr>
              <w:jc w:val="center"/>
            </w:pPr>
            <w:r>
              <w:t>FBC – Mechanical</w:t>
            </w:r>
          </w:p>
          <w:p w:rsidR="009F21FD" w:rsidRPr="009F21FD" w:rsidRDefault="00C8156B" w:rsidP="009F21FD">
            <w:pPr>
              <w:jc w:val="center"/>
            </w:pPr>
            <w:r>
              <w:t xml:space="preserve">Sec </w:t>
            </w:r>
            <w:r w:rsidR="009F21FD" w:rsidRPr="009F21FD">
              <w:t>314.2.1</w:t>
            </w:r>
          </w:p>
          <w:p w:rsidR="000121C4" w:rsidRDefault="000121C4" w:rsidP="000121C4">
            <w:pPr>
              <w:jc w:val="center"/>
            </w:pPr>
          </w:p>
        </w:tc>
        <w:tc>
          <w:tcPr>
            <w:tcW w:w="6671" w:type="dxa"/>
          </w:tcPr>
          <w:p w:rsidR="009F21FD" w:rsidRPr="009F21FD" w:rsidRDefault="009F21FD" w:rsidP="009F21FD">
            <w:pPr>
              <w:kinsoku w:val="0"/>
              <w:overflowPunct w:val="0"/>
              <w:autoSpaceDE w:val="0"/>
              <w:autoSpaceDN w:val="0"/>
              <w:adjustRightInd w:val="0"/>
              <w:rPr>
                <w:rFonts w:ascii="Lucida Sans Unicode" w:hAnsi="Lucida Sans Unicode" w:cs="Lucida Sans Unicode"/>
                <w:b/>
                <w:bCs/>
                <w:color w:val="494647"/>
                <w:sz w:val="16"/>
                <w:szCs w:val="16"/>
              </w:rPr>
            </w:pPr>
            <w:bookmarkStart w:id="1" w:name="2020_FBC_-_Plumbing_-Section_314.2.1___"/>
            <w:bookmarkEnd w:id="1"/>
            <w:r w:rsidRPr="009F21FD">
              <w:rPr>
                <w:rFonts w:ascii="Lucida Sans Unicode" w:hAnsi="Lucida Sans Unicode" w:cs="Lucida Sans Unicode"/>
                <w:b/>
                <w:bCs/>
                <w:color w:val="494647"/>
                <w:sz w:val="16"/>
                <w:szCs w:val="16"/>
              </w:rPr>
              <w:t>SECTION 314 CONDENSATE DISPOSAL</w:t>
            </w:r>
          </w:p>
          <w:p w:rsidR="009F21FD" w:rsidRPr="009F21FD" w:rsidRDefault="009F21FD" w:rsidP="009F21FD">
            <w:pPr>
              <w:kinsoku w:val="0"/>
              <w:overflowPunct w:val="0"/>
              <w:autoSpaceDE w:val="0"/>
              <w:autoSpaceDN w:val="0"/>
              <w:adjustRightInd w:val="0"/>
              <w:rPr>
                <w:rFonts w:ascii="Lucida Sans Unicode" w:hAnsi="Lucida Sans Unicode" w:cs="Lucida Sans Unicode"/>
                <w:b/>
                <w:bCs/>
                <w:color w:val="494647"/>
                <w:sz w:val="16"/>
                <w:szCs w:val="16"/>
              </w:rPr>
            </w:pPr>
            <w:r w:rsidRPr="009F21FD">
              <w:rPr>
                <w:rFonts w:ascii="Lucida Sans Unicode" w:hAnsi="Lucida Sans Unicode" w:cs="Lucida Sans Unicode"/>
                <w:b/>
                <w:bCs/>
                <w:color w:val="494647"/>
                <w:sz w:val="16"/>
                <w:szCs w:val="16"/>
              </w:rPr>
              <w:t xml:space="preserve">[M] 314.2.1 Condensate </w:t>
            </w:r>
            <w:r w:rsidRPr="009F21FD">
              <w:rPr>
                <w:rFonts w:ascii="Lucida Sans Unicode" w:hAnsi="Lucida Sans Unicode" w:cs="Lucida Sans Unicode"/>
                <w:b/>
                <w:bCs/>
                <w:color w:val="494647"/>
                <w:sz w:val="16"/>
                <w:szCs w:val="16"/>
                <w:u w:val="single"/>
              </w:rPr>
              <w:t>drainage collection, use</w:t>
            </w:r>
            <w:r w:rsidRPr="009F21FD">
              <w:rPr>
                <w:rFonts w:ascii="Lucida Sans Unicode" w:hAnsi="Lucida Sans Unicode" w:cs="Lucida Sans Unicode"/>
                <w:b/>
                <w:bCs/>
                <w:color w:val="494647"/>
                <w:sz w:val="16"/>
                <w:szCs w:val="16"/>
              </w:rPr>
              <w:t xml:space="preserve"> disposal.</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rPr>
            </w:pPr>
            <w:r w:rsidRPr="009F21FD">
              <w:rPr>
                <w:rFonts w:ascii="Lucida Sans Unicode" w:hAnsi="Lucida Sans Unicode" w:cs="Lucida Sans Unicode"/>
                <w:color w:val="494647"/>
                <w:sz w:val="16"/>
                <w:szCs w:val="16"/>
              </w:rPr>
              <w:t xml:space="preserve">Condensate </w:t>
            </w:r>
            <w:r w:rsidRPr="009F21FD">
              <w:rPr>
                <w:rFonts w:ascii="Lucida Sans Unicode" w:hAnsi="Lucida Sans Unicode" w:cs="Lucida Sans Unicode"/>
                <w:color w:val="494647"/>
                <w:sz w:val="16"/>
                <w:szCs w:val="16"/>
                <w:u w:val="single"/>
              </w:rPr>
              <w:t>from all cooling coils and evaporators of equipment served by an onsite cooling tower in a</w:t>
            </w:r>
            <w:r w:rsidRPr="009F21FD">
              <w:rPr>
                <w:rFonts w:ascii="Lucida Sans Unicode" w:hAnsi="Lucida Sans Unicode" w:cs="Lucida Sans Unicode"/>
                <w:color w:val="494647"/>
                <w:sz w:val="16"/>
                <w:szCs w:val="16"/>
              </w:rPr>
              <w:t xml:space="preserve"> </w:t>
            </w:r>
            <w:r w:rsidRPr="009F21FD">
              <w:rPr>
                <w:rFonts w:ascii="Lucida Sans Unicode" w:hAnsi="Lucida Sans Unicode" w:cs="Lucida Sans Unicode"/>
                <w:color w:val="494647"/>
                <w:sz w:val="16"/>
                <w:szCs w:val="16"/>
                <w:u w:val="single"/>
              </w:rPr>
              <w:t>building or structure wherein the aggregate cooling capacity of the equipment exceeds 65,000 Btu/</w:t>
            </w:r>
            <w:proofErr w:type="spellStart"/>
            <w:r w:rsidRPr="009F21FD">
              <w:rPr>
                <w:rFonts w:ascii="Lucida Sans Unicode" w:hAnsi="Lucida Sans Unicode" w:cs="Lucida Sans Unicode"/>
                <w:color w:val="494647"/>
                <w:sz w:val="16"/>
                <w:szCs w:val="16"/>
                <w:u w:val="single"/>
              </w:rPr>
              <w:t>hr</w:t>
            </w:r>
            <w:proofErr w:type="spellEnd"/>
            <w:r w:rsidRPr="009F21FD">
              <w:rPr>
                <w:rFonts w:ascii="Lucida Sans Unicode" w:hAnsi="Lucida Sans Unicode" w:cs="Lucida Sans Unicode"/>
                <w:color w:val="494647"/>
                <w:sz w:val="16"/>
                <w:szCs w:val="16"/>
                <w:u w:val="single"/>
              </w:rPr>
              <w:t xml:space="preserve"> shall</w:t>
            </w:r>
            <w:r w:rsidRPr="009F21FD">
              <w:rPr>
                <w:rFonts w:ascii="Lucida Sans Unicode" w:hAnsi="Lucida Sans Unicode" w:cs="Lucida Sans Unicode"/>
                <w:color w:val="494647"/>
                <w:sz w:val="16"/>
                <w:szCs w:val="16"/>
              </w:rPr>
              <w:t xml:space="preserve"> </w:t>
            </w:r>
            <w:r w:rsidRPr="009F21FD">
              <w:rPr>
                <w:rFonts w:ascii="Lucida Sans Unicode" w:hAnsi="Lucida Sans Unicode" w:cs="Lucida Sans Unicode"/>
                <w:color w:val="494647"/>
                <w:sz w:val="16"/>
                <w:szCs w:val="16"/>
                <w:u w:val="single"/>
              </w:rPr>
              <w:t>be collected and conveyed from the drain pan outlet and discharged to the cooling tower. Where an on-</w:t>
            </w:r>
          </w:p>
          <w:p w:rsidR="009F21FD" w:rsidRPr="009F21FD" w:rsidRDefault="009F21FD" w:rsidP="009F21FD">
            <w:pPr>
              <w:autoSpaceDE w:val="0"/>
              <w:autoSpaceDN w:val="0"/>
              <w:adjustRightInd w:val="0"/>
              <w:rPr>
                <w:rFonts w:ascii="Lucida Sans Unicode" w:hAnsi="Lucida Sans Unicode" w:cs="Lucida Sans Unicode"/>
                <w:color w:val="494647"/>
                <w:sz w:val="16"/>
                <w:szCs w:val="16"/>
                <w:u w:val="single"/>
              </w:rPr>
            </w:pPr>
            <w:r w:rsidRPr="009F21FD">
              <w:rPr>
                <w:rFonts w:ascii="Lucida Sans Unicode" w:hAnsi="Lucida Sans Unicode" w:cs="Lucida Sans Unicode"/>
                <w:color w:val="494647"/>
                <w:sz w:val="16"/>
                <w:szCs w:val="16"/>
                <w:u w:val="single"/>
              </w:rPr>
              <w:t>site cooling tower is not installed the condensat</w:t>
            </w:r>
            <w:r>
              <w:rPr>
                <w:rFonts w:ascii="Lucida Sans Unicode" w:hAnsi="Lucida Sans Unicode" w:cs="Lucida Sans Unicode"/>
                <w:color w:val="494647"/>
                <w:sz w:val="16"/>
                <w:szCs w:val="16"/>
                <w:u w:val="single"/>
              </w:rPr>
              <w:t xml:space="preserve">e </w:t>
            </w:r>
            <w:r w:rsidRPr="009F21FD">
              <w:rPr>
                <w:rFonts w:ascii="Lucida Sans Unicode" w:hAnsi="Lucida Sans Unicode" w:cs="Lucida Sans Unicode"/>
                <w:color w:val="494647"/>
                <w:sz w:val="16"/>
                <w:szCs w:val="16"/>
                <w:u w:val="single"/>
              </w:rPr>
              <w:t xml:space="preserve">                                              </w:t>
            </w:r>
            <w:r>
              <w:rPr>
                <w:rFonts w:ascii="Lucida Sans Unicode" w:hAnsi="Lucida Sans Unicode" w:cs="Lucida Sans Unicode"/>
                <w:color w:val="494647"/>
                <w:sz w:val="16"/>
                <w:szCs w:val="16"/>
                <w:u w:val="single"/>
              </w:rPr>
              <w:t xml:space="preserve">                            </w:t>
            </w:r>
            <w:r w:rsidRPr="009F21FD">
              <w:rPr>
                <w:rFonts w:ascii="Lucida Sans Unicode" w:hAnsi="Lucida Sans Unicode" w:cs="Lucida Sans Unicode"/>
                <w:color w:val="494647"/>
                <w:sz w:val="16"/>
                <w:szCs w:val="16"/>
                <w:u w:val="single"/>
              </w:rPr>
              <w:t>from all</w:t>
            </w:r>
            <w:r>
              <w:rPr>
                <w:rFonts w:ascii="Lucida Sans Unicode" w:hAnsi="Lucida Sans Unicode" w:cs="Lucida Sans Unicode"/>
                <w:color w:val="494647"/>
                <w:sz w:val="16"/>
                <w:szCs w:val="16"/>
                <w:u w:val="single"/>
              </w:rPr>
              <w:t xml:space="preserve"> </w:t>
            </w:r>
            <w:r w:rsidRPr="009F21FD">
              <w:rPr>
                <w:rFonts w:ascii="Lucida Sans Unicode" w:hAnsi="Lucida Sans Unicode" w:cs="Lucida Sans Unicode"/>
                <w:color w:val="494647"/>
                <w:sz w:val="16"/>
                <w:szCs w:val="16"/>
                <w:u w:val="single"/>
              </w:rPr>
              <w:t>cooling coils and evaporators shall be conveyed</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proofErr w:type="gramStart"/>
            <w:r w:rsidRPr="009F21FD">
              <w:rPr>
                <w:rFonts w:ascii="Lucida Sans Unicode" w:hAnsi="Lucida Sans Unicode" w:cs="Lucida Sans Unicode"/>
                <w:color w:val="494647"/>
                <w:sz w:val="16"/>
                <w:szCs w:val="16"/>
                <w:u w:val="single"/>
              </w:rPr>
              <w:t>from</w:t>
            </w:r>
            <w:proofErr w:type="gramEnd"/>
            <w:r w:rsidRPr="009F21FD">
              <w:rPr>
                <w:rFonts w:ascii="Lucida Sans Unicode" w:hAnsi="Lucida Sans Unicode" w:cs="Lucida Sans Unicode"/>
                <w:color w:val="494647"/>
                <w:sz w:val="16"/>
                <w:szCs w:val="16"/>
                <w:u w:val="single"/>
              </w:rPr>
              <w:t xml:space="preserve"> the drain pan outlet to an approved place of disposal. Such piping shall maintain a minimum horizontal slope in the direction of discharge of not less than one-eighth unit vertical in 12 </w:t>
            </w:r>
            <w:proofErr w:type="gramStart"/>
            <w:r w:rsidRPr="009F21FD">
              <w:rPr>
                <w:rFonts w:ascii="Lucida Sans Unicode" w:hAnsi="Lucida Sans Unicode" w:cs="Lucida Sans Unicode"/>
                <w:color w:val="494647"/>
                <w:sz w:val="16"/>
                <w:szCs w:val="16"/>
                <w:u w:val="single"/>
              </w:rPr>
              <w:t>units</w:t>
            </w:r>
            <w:proofErr w:type="gramEnd"/>
            <w:r w:rsidRPr="009F21FD">
              <w:rPr>
                <w:rFonts w:ascii="Lucida Sans Unicode" w:hAnsi="Lucida Sans Unicode" w:cs="Lucida Sans Unicode"/>
                <w:color w:val="494647"/>
                <w:sz w:val="16"/>
                <w:szCs w:val="16"/>
                <w:u w:val="single"/>
              </w:rPr>
              <w:t xml:space="preserve"> horizontal (1-percent slope). Condensate shall not discharge into a street, alley or other areas so as to cause a nuisance.</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r>
              <w:rPr>
                <w:rFonts w:ascii="Lucida Sans Unicode" w:hAnsi="Lucida Sans Unicode" w:cs="Lucida Sans Unicode"/>
                <w:color w:val="494647"/>
                <w:sz w:val="16"/>
                <w:szCs w:val="16"/>
                <w:u w:val="single"/>
              </w:rPr>
              <w:t xml:space="preserve">  With </w:t>
            </w:r>
            <w:r w:rsidRPr="009F21FD">
              <w:rPr>
                <w:rFonts w:ascii="Lucida Sans Unicode" w:hAnsi="Lucida Sans Unicode" w:cs="Lucida Sans Unicode"/>
                <w:color w:val="494647"/>
                <w:sz w:val="16"/>
                <w:szCs w:val="16"/>
                <w:u w:val="single"/>
              </w:rPr>
              <w:t>Exceptions</w:t>
            </w:r>
            <w:r w:rsidRPr="009F21FD">
              <w:rPr>
                <w:rFonts w:ascii="Lucida Sans Unicode" w:hAnsi="Lucida Sans Unicode" w:cs="Lucida Sans Unicode"/>
                <w:color w:val="494647"/>
                <w:sz w:val="16"/>
                <w:szCs w:val="16"/>
              </w:rPr>
              <w:t>: (see details)</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rPr>
            </w:pPr>
          </w:p>
          <w:p w:rsidR="00822F76" w:rsidRPr="00822F76" w:rsidRDefault="00822F76" w:rsidP="00822F76">
            <w:pPr>
              <w:kinsoku w:val="0"/>
              <w:overflowPunct w:val="0"/>
              <w:autoSpaceDE w:val="0"/>
              <w:autoSpaceDN w:val="0"/>
              <w:adjustRightInd w:val="0"/>
              <w:rPr>
                <w:rFonts w:ascii="Lucida Sans Unicode" w:hAnsi="Lucida Sans Unicode" w:cs="Lucida Sans Unicode"/>
                <w:color w:val="494647"/>
                <w:sz w:val="16"/>
                <w:szCs w:val="16"/>
              </w:rPr>
            </w:pPr>
          </w:p>
          <w:p w:rsidR="00822F76" w:rsidRDefault="00822F76" w:rsidP="00822F76"/>
        </w:tc>
        <w:tc>
          <w:tcPr>
            <w:tcW w:w="3021" w:type="dxa"/>
            <w:vAlign w:val="center"/>
          </w:tcPr>
          <w:p w:rsidR="003B6EFE" w:rsidRDefault="00226BB2" w:rsidP="00226BB2">
            <w:pPr>
              <w:jc w:val="center"/>
              <w:rPr>
                <w:b/>
                <w:sz w:val="20"/>
                <w:szCs w:val="20"/>
              </w:rPr>
            </w:pPr>
            <w:r>
              <w:rPr>
                <w:b/>
                <w:sz w:val="20"/>
                <w:szCs w:val="20"/>
              </w:rPr>
              <w:t>Pittman to Deny  2</w:t>
            </w:r>
            <w:r w:rsidRPr="00226BB2">
              <w:rPr>
                <w:b/>
                <w:sz w:val="20"/>
                <w:szCs w:val="20"/>
                <w:vertAlign w:val="superscript"/>
              </w:rPr>
              <w:t>nd</w:t>
            </w:r>
            <w:r>
              <w:rPr>
                <w:b/>
                <w:sz w:val="20"/>
                <w:szCs w:val="20"/>
              </w:rPr>
              <w:t xml:space="preserve"> </w:t>
            </w:r>
            <w:proofErr w:type="spellStart"/>
            <w:r>
              <w:rPr>
                <w:b/>
                <w:sz w:val="20"/>
                <w:szCs w:val="20"/>
              </w:rPr>
              <w:t>Quintella</w:t>
            </w:r>
            <w:proofErr w:type="spellEnd"/>
            <w:r w:rsidRPr="00226BB2">
              <w:rPr>
                <w:b/>
                <w:sz w:val="20"/>
                <w:szCs w:val="20"/>
              </w:rPr>
              <w:t xml:space="preserve"> VOTE:</w:t>
            </w:r>
            <w:r>
              <w:rPr>
                <w:b/>
                <w:sz w:val="20"/>
                <w:szCs w:val="20"/>
              </w:rPr>
              <w:t xml:space="preserve"> 10 Yes – 0 No</w:t>
            </w:r>
          </w:p>
          <w:p w:rsidR="00B21C57" w:rsidRDefault="00B21C57" w:rsidP="00226BB2">
            <w:pPr>
              <w:jc w:val="center"/>
              <w:rPr>
                <w:b/>
                <w:sz w:val="20"/>
                <w:szCs w:val="20"/>
              </w:rPr>
            </w:pP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b/>
              </w:rPr>
            </w:pPr>
            <w:r w:rsidRPr="00B21C57">
              <w:rPr>
                <w:b/>
              </w:rPr>
              <w:t xml:space="preserve">Commission Action to Deny </w:t>
            </w: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eastAsia="Times New Roman" w:hAnsi="Arial" w:cs="Arial"/>
                <w:b/>
                <w:color w:val="000000"/>
                <w:kern w:val="2"/>
                <w:sz w:val="19"/>
                <w:szCs w:val="24"/>
              </w:rPr>
            </w:pPr>
            <w:r w:rsidRPr="00B21C57">
              <w:rPr>
                <w:b/>
              </w:rPr>
              <w:t>Vote: 13 Yes – 0 No</w:t>
            </w:r>
          </w:p>
          <w:p w:rsidR="00B21C57" w:rsidRDefault="00B21C57" w:rsidP="00226BB2">
            <w:pPr>
              <w:jc w:val="center"/>
            </w:pPr>
          </w:p>
        </w:tc>
      </w:tr>
      <w:tr w:rsidR="003B6EFE" w:rsidTr="000770A2">
        <w:tc>
          <w:tcPr>
            <w:tcW w:w="1592" w:type="dxa"/>
            <w:shd w:val="clear" w:color="auto" w:fill="BFBFBF" w:themeFill="background1" w:themeFillShade="BF"/>
            <w:vAlign w:val="center"/>
          </w:tcPr>
          <w:p w:rsidR="003B6EFE" w:rsidRPr="00F15932" w:rsidRDefault="003B6EFE" w:rsidP="003B6EFE">
            <w:pPr>
              <w:jc w:val="center"/>
              <w:rPr>
                <w:sz w:val="16"/>
                <w:szCs w:val="16"/>
              </w:rPr>
            </w:pPr>
          </w:p>
        </w:tc>
        <w:tc>
          <w:tcPr>
            <w:tcW w:w="1892" w:type="dxa"/>
            <w:shd w:val="clear" w:color="auto" w:fill="BFBFBF" w:themeFill="background1" w:themeFillShade="BF"/>
            <w:vAlign w:val="center"/>
          </w:tcPr>
          <w:p w:rsidR="003B6EFE" w:rsidRPr="00F15932" w:rsidRDefault="003B6EFE" w:rsidP="003B6EFE">
            <w:pPr>
              <w:jc w:val="center"/>
              <w:rPr>
                <w:sz w:val="16"/>
                <w:szCs w:val="16"/>
              </w:rPr>
            </w:pPr>
          </w:p>
        </w:tc>
        <w:tc>
          <w:tcPr>
            <w:tcW w:w="6671" w:type="dxa"/>
            <w:shd w:val="clear" w:color="auto" w:fill="BFBFBF" w:themeFill="background1" w:themeFillShade="BF"/>
            <w:vAlign w:val="center"/>
          </w:tcPr>
          <w:p w:rsidR="003B6EFE" w:rsidRPr="00F15932" w:rsidRDefault="003B6EFE" w:rsidP="003B6EFE">
            <w:pPr>
              <w:jc w:val="center"/>
              <w:rPr>
                <w:sz w:val="16"/>
                <w:szCs w:val="16"/>
              </w:rPr>
            </w:pPr>
          </w:p>
        </w:tc>
        <w:tc>
          <w:tcPr>
            <w:tcW w:w="3021" w:type="dxa"/>
            <w:shd w:val="clear" w:color="auto" w:fill="BFBFBF" w:themeFill="background1" w:themeFillShade="BF"/>
            <w:vAlign w:val="center"/>
          </w:tcPr>
          <w:p w:rsidR="003B6EFE" w:rsidRPr="00F15932" w:rsidRDefault="003B6EFE" w:rsidP="003B6EFE">
            <w:pPr>
              <w:jc w:val="center"/>
              <w:rPr>
                <w:sz w:val="16"/>
                <w:szCs w:val="16"/>
              </w:rPr>
            </w:pPr>
          </w:p>
        </w:tc>
      </w:tr>
      <w:tr w:rsidR="004E5D58" w:rsidTr="000770A2">
        <w:trPr>
          <w:trHeight w:val="5462"/>
        </w:trPr>
        <w:tc>
          <w:tcPr>
            <w:tcW w:w="1592" w:type="dxa"/>
            <w:vAlign w:val="center"/>
          </w:tcPr>
          <w:p w:rsidR="004E5D58" w:rsidRDefault="009F21FD" w:rsidP="009F21FD">
            <w:pPr>
              <w:jc w:val="center"/>
            </w:pPr>
            <w:r>
              <w:lastRenderedPageBreak/>
              <w:t>County of Broward</w:t>
            </w:r>
          </w:p>
        </w:tc>
        <w:tc>
          <w:tcPr>
            <w:tcW w:w="1892" w:type="dxa"/>
            <w:vAlign w:val="center"/>
          </w:tcPr>
          <w:p w:rsidR="004E5D58" w:rsidRDefault="009F21FD" w:rsidP="009F21FD">
            <w:pPr>
              <w:jc w:val="center"/>
            </w:pPr>
            <w:r>
              <w:t>FBC – Mechanical</w:t>
            </w:r>
          </w:p>
          <w:p w:rsidR="009F21FD" w:rsidRDefault="005A53AD" w:rsidP="009F21FD">
            <w:pPr>
              <w:jc w:val="center"/>
            </w:pPr>
            <w:r>
              <w:t>Sec</w:t>
            </w:r>
            <w:r w:rsidR="009F21FD">
              <w:t xml:space="preserve"> 307</w:t>
            </w:r>
          </w:p>
        </w:tc>
        <w:tc>
          <w:tcPr>
            <w:tcW w:w="6671" w:type="dxa"/>
            <w:vAlign w:val="center"/>
          </w:tcPr>
          <w:p w:rsidR="009F21FD" w:rsidRPr="009F21FD" w:rsidRDefault="009F21FD" w:rsidP="009F21FD">
            <w:pPr>
              <w:kinsoku w:val="0"/>
              <w:overflowPunct w:val="0"/>
              <w:autoSpaceDE w:val="0"/>
              <w:autoSpaceDN w:val="0"/>
              <w:adjustRightInd w:val="0"/>
              <w:ind w:left="40"/>
              <w:rPr>
                <w:rFonts w:ascii="Arial" w:hAnsi="Arial" w:cs="Arial"/>
                <w:b/>
                <w:bCs/>
                <w:color w:val="232323"/>
                <w:sz w:val="24"/>
                <w:szCs w:val="24"/>
              </w:rPr>
            </w:pPr>
            <w:r w:rsidRPr="009F21FD">
              <w:rPr>
                <w:rFonts w:ascii="Arial" w:hAnsi="Arial" w:cs="Arial"/>
                <w:b/>
                <w:bCs/>
                <w:color w:val="232323"/>
                <w:sz w:val="24"/>
                <w:szCs w:val="24"/>
              </w:rPr>
              <w:t>SECTION 307 CONDENSATE DISPOSAL</w:t>
            </w:r>
          </w:p>
          <w:p w:rsidR="009F21FD" w:rsidRPr="009F21FD" w:rsidRDefault="009F21FD" w:rsidP="009F21FD">
            <w:pPr>
              <w:kinsoku w:val="0"/>
              <w:overflowPunct w:val="0"/>
              <w:autoSpaceDE w:val="0"/>
              <w:autoSpaceDN w:val="0"/>
              <w:adjustRightInd w:val="0"/>
              <w:ind w:left="40"/>
              <w:rPr>
                <w:rFonts w:ascii="Arial" w:hAnsi="Arial" w:cs="Arial"/>
                <w:b/>
                <w:bCs/>
                <w:color w:val="232323"/>
                <w:sz w:val="24"/>
                <w:szCs w:val="24"/>
              </w:rPr>
            </w:pPr>
            <w:r w:rsidRPr="009F21FD">
              <w:rPr>
                <w:rFonts w:ascii="Arial" w:hAnsi="Arial" w:cs="Arial"/>
                <w:b/>
                <w:bCs/>
                <w:color w:val="232323"/>
                <w:sz w:val="24"/>
                <w:szCs w:val="24"/>
              </w:rPr>
              <w:t xml:space="preserve">307.2.1 Condensate </w:t>
            </w:r>
            <w:r w:rsidRPr="009F21FD">
              <w:rPr>
                <w:rFonts w:ascii="Arial" w:hAnsi="Arial" w:cs="Arial"/>
                <w:b/>
                <w:bCs/>
                <w:color w:val="232323"/>
                <w:sz w:val="24"/>
                <w:szCs w:val="24"/>
                <w:u w:val="single"/>
              </w:rPr>
              <w:t>drainage collection, use</w:t>
            </w:r>
            <w:r w:rsidRPr="009F21FD">
              <w:rPr>
                <w:rFonts w:ascii="Arial" w:hAnsi="Arial" w:cs="Arial"/>
                <w:b/>
                <w:bCs/>
                <w:color w:val="232323"/>
                <w:sz w:val="24"/>
                <w:szCs w:val="24"/>
              </w:rPr>
              <w:t xml:space="preserve"> or disposal.</w:t>
            </w:r>
          </w:p>
          <w:p w:rsidR="009F21FD" w:rsidRPr="009F21FD" w:rsidRDefault="009F21FD" w:rsidP="009F21FD">
            <w:pPr>
              <w:kinsoku w:val="0"/>
              <w:overflowPunct w:val="0"/>
              <w:autoSpaceDE w:val="0"/>
              <w:autoSpaceDN w:val="0"/>
              <w:adjustRightInd w:val="0"/>
              <w:ind w:left="40"/>
              <w:rPr>
                <w:rFonts w:ascii="Arial" w:hAnsi="Arial" w:cs="Arial"/>
                <w:color w:val="232323"/>
                <w:sz w:val="24"/>
                <w:szCs w:val="24"/>
              </w:rPr>
            </w:pPr>
            <w:r w:rsidRPr="009F21FD">
              <w:rPr>
                <w:rFonts w:ascii="Arial" w:hAnsi="Arial" w:cs="Arial"/>
                <w:color w:val="232323"/>
                <w:sz w:val="24"/>
                <w:szCs w:val="24"/>
              </w:rPr>
              <w:t xml:space="preserve">Condensate </w:t>
            </w:r>
            <w:r w:rsidRPr="009F21FD">
              <w:rPr>
                <w:rFonts w:ascii="Arial" w:hAnsi="Arial" w:cs="Arial"/>
                <w:color w:val="232323"/>
                <w:sz w:val="24"/>
                <w:szCs w:val="24"/>
                <w:u w:val="single"/>
              </w:rPr>
              <w:t>from all cooling coils and evaporators of equipment served by an onsite cooling tower in a</w:t>
            </w:r>
            <w:r w:rsidRPr="009F21FD">
              <w:rPr>
                <w:rFonts w:ascii="Arial" w:hAnsi="Arial" w:cs="Arial"/>
                <w:color w:val="232323"/>
                <w:sz w:val="24"/>
                <w:szCs w:val="24"/>
              </w:rPr>
              <w:t xml:space="preserve"> </w:t>
            </w:r>
            <w:r w:rsidRPr="009F21FD">
              <w:rPr>
                <w:rFonts w:ascii="Arial" w:hAnsi="Arial" w:cs="Arial"/>
                <w:color w:val="232323"/>
                <w:sz w:val="24"/>
                <w:szCs w:val="24"/>
                <w:u w:val="single"/>
              </w:rPr>
              <w:t>building or structure wherein the aggregate cooling capacity of the equipment exceeds 65,000 Btu/</w:t>
            </w:r>
            <w:proofErr w:type="spellStart"/>
            <w:r w:rsidRPr="009F21FD">
              <w:rPr>
                <w:rFonts w:ascii="Arial" w:hAnsi="Arial" w:cs="Arial"/>
                <w:color w:val="232323"/>
                <w:sz w:val="24"/>
                <w:szCs w:val="24"/>
                <w:u w:val="single"/>
              </w:rPr>
              <w:t>hr</w:t>
            </w:r>
            <w:proofErr w:type="spellEnd"/>
            <w:r w:rsidRPr="009F21FD">
              <w:rPr>
                <w:rFonts w:ascii="Arial" w:hAnsi="Arial" w:cs="Arial"/>
                <w:color w:val="232323"/>
                <w:sz w:val="24"/>
                <w:szCs w:val="24"/>
                <w:u w:val="single"/>
              </w:rPr>
              <w:t xml:space="preserve"> shall</w:t>
            </w:r>
            <w:r w:rsidRPr="009F21FD">
              <w:rPr>
                <w:rFonts w:ascii="Arial" w:hAnsi="Arial" w:cs="Arial"/>
                <w:color w:val="232323"/>
                <w:sz w:val="24"/>
                <w:szCs w:val="24"/>
              </w:rPr>
              <w:t xml:space="preserve"> </w:t>
            </w:r>
            <w:r w:rsidRPr="009F21FD">
              <w:rPr>
                <w:rFonts w:ascii="Arial" w:hAnsi="Arial" w:cs="Arial"/>
                <w:color w:val="232323"/>
                <w:sz w:val="24"/>
                <w:szCs w:val="24"/>
                <w:u w:val="single"/>
              </w:rPr>
              <w:t>be collected and conveyed from the drain pan outlet and discharged to the cooling tower. Where an on-</w:t>
            </w:r>
            <w:r w:rsidRPr="009F21FD">
              <w:rPr>
                <w:rFonts w:ascii="Arial" w:hAnsi="Arial" w:cs="Arial"/>
                <w:color w:val="232323"/>
                <w:sz w:val="24"/>
                <w:szCs w:val="24"/>
              </w:rPr>
              <w:t xml:space="preserve"> </w:t>
            </w:r>
            <w:r w:rsidRPr="009F21FD">
              <w:rPr>
                <w:rFonts w:ascii="Arial" w:hAnsi="Arial" w:cs="Arial"/>
                <w:color w:val="232323"/>
                <w:sz w:val="24"/>
                <w:szCs w:val="24"/>
                <w:u w:val="single"/>
              </w:rPr>
              <w:t>site cooling tower is not installed the condensate</w:t>
            </w:r>
            <w:r w:rsidRPr="009F21FD">
              <w:rPr>
                <w:rFonts w:ascii="Arial" w:hAnsi="Arial" w:cs="Arial"/>
                <w:color w:val="232323"/>
                <w:sz w:val="24"/>
                <w:szCs w:val="24"/>
              </w:rPr>
              <w:t xml:space="preserve"> from all cooling coils and evaporators shall be conveyed from the drain pan outlet to an approved place of disposal. Such piping shall maintain a minimum horizontal slope in the direction of discharge of not less than one-eighth unit vertical in 12 </w:t>
            </w:r>
            <w:proofErr w:type="gramStart"/>
            <w:r w:rsidRPr="009F21FD">
              <w:rPr>
                <w:rFonts w:ascii="Arial" w:hAnsi="Arial" w:cs="Arial"/>
                <w:color w:val="232323"/>
                <w:sz w:val="24"/>
                <w:szCs w:val="24"/>
              </w:rPr>
              <w:t>units</w:t>
            </w:r>
            <w:proofErr w:type="gramEnd"/>
            <w:r w:rsidRPr="009F21FD">
              <w:rPr>
                <w:rFonts w:ascii="Arial" w:hAnsi="Arial" w:cs="Arial"/>
                <w:color w:val="232323"/>
                <w:sz w:val="24"/>
                <w:szCs w:val="24"/>
              </w:rPr>
              <w:t xml:space="preserve"> horizontal (1-percent slope). Condensate shall not discharge into a street, alley or other areas so as to cause a</w:t>
            </w:r>
          </w:p>
          <w:p w:rsidR="009F21FD" w:rsidRDefault="009F21FD" w:rsidP="009F21FD">
            <w:pPr>
              <w:kinsoku w:val="0"/>
              <w:overflowPunct w:val="0"/>
              <w:autoSpaceDE w:val="0"/>
              <w:autoSpaceDN w:val="0"/>
              <w:adjustRightInd w:val="0"/>
              <w:ind w:left="40"/>
              <w:rPr>
                <w:rFonts w:ascii="Arial" w:hAnsi="Arial" w:cs="Arial"/>
                <w:color w:val="232323"/>
                <w:sz w:val="24"/>
                <w:szCs w:val="24"/>
              </w:rPr>
            </w:pPr>
            <w:proofErr w:type="gramStart"/>
            <w:r w:rsidRPr="009F21FD">
              <w:rPr>
                <w:rFonts w:ascii="Arial" w:hAnsi="Arial" w:cs="Arial"/>
                <w:color w:val="232323"/>
                <w:sz w:val="24"/>
                <w:szCs w:val="24"/>
              </w:rPr>
              <w:t>nuisance</w:t>
            </w:r>
            <w:proofErr w:type="gramEnd"/>
            <w:r w:rsidRPr="009F21FD">
              <w:rPr>
                <w:rFonts w:ascii="Arial" w:hAnsi="Arial" w:cs="Arial"/>
                <w:color w:val="232323"/>
                <w:sz w:val="24"/>
                <w:szCs w:val="24"/>
              </w:rPr>
              <w:t>.</w:t>
            </w:r>
          </w:p>
          <w:p w:rsidR="00013176" w:rsidRPr="00013176" w:rsidRDefault="00013176" w:rsidP="00013176">
            <w:pPr>
              <w:kinsoku w:val="0"/>
              <w:overflowPunct w:val="0"/>
              <w:autoSpaceDE w:val="0"/>
              <w:autoSpaceDN w:val="0"/>
              <w:adjustRightInd w:val="0"/>
              <w:ind w:left="40"/>
              <w:rPr>
                <w:rFonts w:ascii="Arial" w:hAnsi="Arial" w:cs="Arial"/>
                <w:color w:val="232323"/>
                <w:sz w:val="24"/>
                <w:szCs w:val="24"/>
              </w:rPr>
            </w:pPr>
          </w:p>
          <w:p w:rsidR="00013176" w:rsidRDefault="00013176" w:rsidP="00822F76"/>
        </w:tc>
        <w:tc>
          <w:tcPr>
            <w:tcW w:w="3021" w:type="dxa"/>
            <w:vAlign w:val="center"/>
          </w:tcPr>
          <w:p w:rsidR="004E5D58" w:rsidRDefault="00226BB2" w:rsidP="00226BB2">
            <w:pPr>
              <w:jc w:val="center"/>
              <w:rPr>
                <w:b/>
                <w:sz w:val="20"/>
                <w:szCs w:val="20"/>
              </w:rPr>
            </w:pPr>
            <w:proofErr w:type="spellStart"/>
            <w:r>
              <w:rPr>
                <w:b/>
                <w:sz w:val="20"/>
                <w:szCs w:val="20"/>
              </w:rPr>
              <w:t>Quintella</w:t>
            </w:r>
            <w:proofErr w:type="spellEnd"/>
            <w:r>
              <w:rPr>
                <w:b/>
                <w:sz w:val="20"/>
                <w:szCs w:val="20"/>
              </w:rPr>
              <w:t xml:space="preserve"> to Deny  2</w:t>
            </w:r>
            <w:r w:rsidRPr="00226BB2">
              <w:rPr>
                <w:b/>
                <w:sz w:val="20"/>
                <w:szCs w:val="20"/>
                <w:vertAlign w:val="superscript"/>
              </w:rPr>
              <w:t>nd</w:t>
            </w:r>
            <w:r>
              <w:rPr>
                <w:b/>
                <w:sz w:val="20"/>
                <w:szCs w:val="20"/>
              </w:rPr>
              <w:t xml:space="preserve"> </w:t>
            </w:r>
            <w:proofErr w:type="spellStart"/>
            <w:r>
              <w:rPr>
                <w:b/>
                <w:sz w:val="20"/>
                <w:szCs w:val="20"/>
              </w:rPr>
              <w:t>Calleja</w:t>
            </w:r>
            <w:proofErr w:type="spellEnd"/>
            <w:r w:rsidRPr="00226BB2">
              <w:rPr>
                <w:b/>
                <w:sz w:val="20"/>
                <w:szCs w:val="20"/>
              </w:rPr>
              <w:t xml:space="preserve"> VOTE:</w:t>
            </w:r>
            <w:r>
              <w:rPr>
                <w:b/>
                <w:sz w:val="20"/>
                <w:szCs w:val="20"/>
              </w:rPr>
              <w:t xml:space="preserve"> 10 Yes – 0 No</w:t>
            </w:r>
          </w:p>
          <w:p w:rsidR="00B21C57" w:rsidRDefault="00B21C57" w:rsidP="00226BB2">
            <w:pPr>
              <w:jc w:val="center"/>
              <w:rPr>
                <w:b/>
                <w:sz w:val="20"/>
                <w:szCs w:val="20"/>
              </w:rPr>
            </w:pP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b/>
              </w:rPr>
            </w:pPr>
            <w:r w:rsidRPr="00B21C57">
              <w:rPr>
                <w:b/>
              </w:rPr>
              <w:t xml:space="preserve">Commission Action to Deny </w:t>
            </w: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eastAsia="Times New Roman" w:hAnsi="Arial" w:cs="Arial"/>
                <w:b/>
                <w:color w:val="000000"/>
                <w:kern w:val="2"/>
                <w:sz w:val="19"/>
                <w:szCs w:val="24"/>
              </w:rPr>
            </w:pPr>
            <w:r w:rsidRPr="00B21C57">
              <w:rPr>
                <w:b/>
              </w:rPr>
              <w:t>Vote: 13 Yes – 0 No</w:t>
            </w:r>
          </w:p>
          <w:p w:rsidR="00B21C57" w:rsidRDefault="00B21C57" w:rsidP="00226BB2">
            <w:pPr>
              <w:jc w:val="center"/>
            </w:pPr>
          </w:p>
        </w:tc>
      </w:tr>
      <w:tr w:rsidR="004E5D58" w:rsidTr="000770A2">
        <w:tc>
          <w:tcPr>
            <w:tcW w:w="1592" w:type="dxa"/>
            <w:shd w:val="clear" w:color="auto" w:fill="BFBFBF" w:themeFill="background1" w:themeFillShade="BF"/>
            <w:vAlign w:val="center"/>
          </w:tcPr>
          <w:p w:rsidR="004E5D58" w:rsidRPr="004E5D58" w:rsidRDefault="004E5D58" w:rsidP="003B6EFE">
            <w:pPr>
              <w:jc w:val="center"/>
              <w:rPr>
                <w:sz w:val="16"/>
                <w:szCs w:val="16"/>
              </w:rPr>
            </w:pPr>
          </w:p>
        </w:tc>
        <w:tc>
          <w:tcPr>
            <w:tcW w:w="1892" w:type="dxa"/>
            <w:shd w:val="clear" w:color="auto" w:fill="BFBFBF" w:themeFill="background1" w:themeFillShade="BF"/>
            <w:vAlign w:val="center"/>
          </w:tcPr>
          <w:p w:rsidR="004E5D58" w:rsidRPr="004E5D58" w:rsidRDefault="004E5D58" w:rsidP="003B6EFE">
            <w:pPr>
              <w:jc w:val="center"/>
              <w:rPr>
                <w:sz w:val="16"/>
                <w:szCs w:val="16"/>
              </w:rPr>
            </w:pPr>
          </w:p>
        </w:tc>
        <w:tc>
          <w:tcPr>
            <w:tcW w:w="6671" w:type="dxa"/>
            <w:shd w:val="clear" w:color="auto" w:fill="BFBFBF" w:themeFill="background1" w:themeFillShade="BF"/>
            <w:vAlign w:val="center"/>
          </w:tcPr>
          <w:p w:rsidR="004E5D58" w:rsidRPr="004E5D58" w:rsidRDefault="004E5D58" w:rsidP="00822F76">
            <w:pPr>
              <w:rPr>
                <w:sz w:val="16"/>
                <w:szCs w:val="16"/>
              </w:rPr>
            </w:pPr>
          </w:p>
        </w:tc>
        <w:tc>
          <w:tcPr>
            <w:tcW w:w="3021" w:type="dxa"/>
            <w:shd w:val="clear" w:color="auto" w:fill="BFBFBF" w:themeFill="background1" w:themeFillShade="BF"/>
            <w:vAlign w:val="center"/>
          </w:tcPr>
          <w:p w:rsidR="004E5D58" w:rsidRPr="004E5D58" w:rsidRDefault="004E5D58" w:rsidP="003B6EFE">
            <w:pPr>
              <w:jc w:val="center"/>
              <w:rPr>
                <w:sz w:val="16"/>
                <w:szCs w:val="16"/>
              </w:rPr>
            </w:pPr>
          </w:p>
        </w:tc>
      </w:tr>
      <w:tr w:rsidR="00F15932" w:rsidTr="000770A2">
        <w:tc>
          <w:tcPr>
            <w:tcW w:w="1592" w:type="dxa"/>
            <w:vAlign w:val="center"/>
          </w:tcPr>
          <w:p w:rsidR="00F15932" w:rsidRDefault="009F21FD" w:rsidP="003B6EFE">
            <w:pPr>
              <w:jc w:val="center"/>
            </w:pPr>
            <w:r>
              <w:t>County of Broward</w:t>
            </w:r>
          </w:p>
        </w:tc>
        <w:tc>
          <w:tcPr>
            <w:tcW w:w="1892" w:type="dxa"/>
            <w:vAlign w:val="center"/>
          </w:tcPr>
          <w:p w:rsidR="00822F76" w:rsidRDefault="000770A2" w:rsidP="003B6EFE">
            <w:pPr>
              <w:jc w:val="center"/>
            </w:pPr>
            <w:r>
              <w:t xml:space="preserve">FBC – Mechanical </w:t>
            </w:r>
          </w:p>
          <w:p w:rsidR="009F21FD" w:rsidRDefault="000770A2" w:rsidP="003B6EFE">
            <w:pPr>
              <w:jc w:val="center"/>
            </w:pPr>
            <w:r>
              <w:t>Sec</w:t>
            </w:r>
            <w:r w:rsidR="009F21FD">
              <w:t xml:space="preserve"> 908.3</w:t>
            </w:r>
          </w:p>
        </w:tc>
        <w:tc>
          <w:tcPr>
            <w:tcW w:w="6671" w:type="dxa"/>
            <w:vAlign w:val="center"/>
          </w:tcPr>
          <w:p w:rsidR="00A84184" w:rsidRPr="008B5C98" w:rsidRDefault="00A84184" w:rsidP="00A84184">
            <w:pPr>
              <w:rPr>
                <w:sz w:val="20"/>
                <w:szCs w:val="20"/>
                <w:u w:val="single"/>
              </w:rPr>
            </w:pPr>
            <w:r w:rsidRPr="008B5C98">
              <w:rPr>
                <w:sz w:val="20"/>
                <w:szCs w:val="20"/>
                <w:u w:val="single"/>
              </w:rPr>
              <w:t>908.3.1 Sitting of cooling towers shall comply with Section 7.2.1 of ASHRAE 188-2018.</w:t>
            </w:r>
          </w:p>
          <w:p w:rsidR="00A84184" w:rsidRPr="008B5C98" w:rsidRDefault="00A84184" w:rsidP="00A84184">
            <w:pPr>
              <w:rPr>
                <w:sz w:val="20"/>
                <w:szCs w:val="20"/>
                <w:u w:val="single"/>
              </w:rPr>
            </w:pPr>
            <w:r w:rsidRPr="008B5C98">
              <w:rPr>
                <w:sz w:val="20"/>
                <w:szCs w:val="20"/>
                <w:u w:val="single"/>
              </w:rPr>
              <w:t>Exception: The replacement of existing cooling towers on previously permitted and approved</w:t>
            </w:r>
            <w:r w:rsidR="008B5C98" w:rsidRPr="008B5C98">
              <w:rPr>
                <w:sz w:val="20"/>
                <w:szCs w:val="20"/>
                <w:u w:val="single"/>
              </w:rPr>
              <w:t xml:space="preserve"> </w:t>
            </w:r>
            <w:r w:rsidRPr="008B5C98">
              <w:rPr>
                <w:sz w:val="20"/>
                <w:szCs w:val="20"/>
                <w:u w:val="single"/>
              </w:rPr>
              <w:t>locations.</w:t>
            </w:r>
          </w:p>
          <w:p w:rsidR="00F15932" w:rsidRDefault="00A84184" w:rsidP="00A84184">
            <w:pPr>
              <w:rPr>
                <w:b/>
                <w:bCs/>
                <w:sz w:val="20"/>
                <w:szCs w:val="20"/>
              </w:rPr>
            </w:pPr>
            <w:r w:rsidRPr="00A84184">
              <w:rPr>
                <w:b/>
                <w:bCs/>
                <w:sz w:val="20"/>
                <w:szCs w:val="20"/>
              </w:rPr>
              <w:t>CHAPTER 15 REFERENCED STANDARDS</w:t>
            </w:r>
          </w:p>
          <w:p w:rsidR="00A84184" w:rsidRDefault="00A84184" w:rsidP="00A84184">
            <w:pPr>
              <w:rPr>
                <w:b/>
                <w:bCs/>
                <w:sz w:val="20"/>
                <w:szCs w:val="20"/>
              </w:rPr>
            </w:pPr>
          </w:p>
          <w:p w:rsidR="00A84184" w:rsidRPr="008B5C98" w:rsidRDefault="00A84184" w:rsidP="00A84184">
            <w:pPr>
              <w:rPr>
                <w:u w:val="single"/>
              </w:rPr>
            </w:pPr>
            <w:r w:rsidRPr="008B5C98">
              <w:rPr>
                <w:u w:val="single"/>
              </w:rPr>
              <w:t xml:space="preserve">188-2018                   </w:t>
            </w:r>
            <w:proofErr w:type="spellStart"/>
            <w:r w:rsidRPr="008B5C98">
              <w:rPr>
                <w:u w:val="single"/>
              </w:rPr>
              <w:t>Legionellosis</w:t>
            </w:r>
            <w:proofErr w:type="spellEnd"/>
            <w:r w:rsidRPr="008B5C98">
              <w:rPr>
                <w:u w:val="single"/>
              </w:rPr>
              <w:t>:</w:t>
            </w:r>
          </w:p>
          <w:p w:rsidR="00A84184" w:rsidRPr="008B5C98" w:rsidRDefault="00A84184" w:rsidP="00A84184">
            <w:pPr>
              <w:rPr>
                <w:u w:val="single"/>
              </w:rPr>
            </w:pPr>
            <w:r w:rsidRPr="008B5C98">
              <w:rPr>
                <w:u w:val="single"/>
              </w:rPr>
              <w:t xml:space="preserve">                                   Risk Management for</w:t>
            </w:r>
          </w:p>
          <w:p w:rsidR="00A84184" w:rsidRDefault="00A84184" w:rsidP="00A84184">
            <w:r w:rsidRPr="008B5C98">
              <w:rPr>
                <w:u w:val="single"/>
              </w:rPr>
              <w:t xml:space="preserve">                                   Building Water Systems                    908.3.1</w:t>
            </w:r>
          </w:p>
        </w:tc>
        <w:tc>
          <w:tcPr>
            <w:tcW w:w="3021" w:type="dxa"/>
            <w:vAlign w:val="center"/>
          </w:tcPr>
          <w:p w:rsidR="00F15932" w:rsidRDefault="00226BB2" w:rsidP="003B6EFE">
            <w:pPr>
              <w:jc w:val="center"/>
              <w:rPr>
                <w:b/>
                <w:sz w:val="20"/>
                <w:szCs w:val="20"/>
              </w:rPr>
            </w:pPr>
            <w:proofErr w:type="spellStart"/>
            <w:r>
              <w:rPr>
                <w:b/>
                <w:sz w:val="20"/>
                <w:szCs w:val="20"/>
              </w:rPr>
              <w:t>Calleja</w:t>
            </w:r>
            <w:proofErr w:type="spellEnd"/>
            <w:r>
              <w:rPr>
                <w:b/>
                <w:sz w:val="20"/>
                <w:szCs w:val="20"/>
              </w:rPr>
              <w:t xml:space="preserve"> to Deny  2</w:t>
            </w:r>
            <w:r w:rsidRPr="00226BB2">
              <w:rPr>
                <w:b/>
                <w:sz w:val="20"/>
                <w:szCs w:val="20"/>
                <w:vertAlign w:val="superscript"/>
              </w:rPr>
              <w:t>nd</w:t>
            </w:r>
            <w:r>
              <w:rPr>
                <w:b/>
                <w:sz w:val="20"/>
                <w:szCs w:val="20"/>
              </w:rPr>
              <w:t xml:space="preserve"> Pittman</w:t>
            </w:r>
            <w:r w:rsidRPr="00226BB2">
              <w:rPr>
                <w:b/>
                <w:sz w:val="20"/>
                <w:szCs w:val="20"/>
              </w:rPr>
              <w:t xml:space="preserve"> VOTE:</w:t>
            </w:r>
            <w:r>
              <w:rPr>
                <w:b/>
                <w:sz w:val="20"/>
                <w:szCs w:val="20"/>
              </w:rPr>
              <w:t xml:space="preserve"> 10 Yes – 0 No</w:t>
            </w:r>
          </w:p>
          <w:p w:rsidR="00B21C57" w:rsidRDefault="00B21C57" w:rsidP="003B6EFE">
            <w:pPr>
              <w:jc w:val="center"/>
              <w:rPr>
                <w:b/>
                <w:sz w:val="20"/>
                <w:szCs w:val="20"/>
              </w:rPr>
            </w:pP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b/>
              </w:rPr>
            </w:pPr>
            <w:r w:rsidRPr="00B21C57">
              <w:rPr>
                <w:b/>
              </w:rPr>
              <w:t xml:space="preserve">Commission Action to Deny </w:t>
            </w: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eastAsia="Times New Roman" w:hAnsi="Arial" w:cs="Arial"/>
                <w:b/>
                <w:color w:val="000000"/>
                <w:kern w:val="2"/>
                <w:sz w:val="19"/>
                <w:szCs w:val="24"/>
              </w:rPr>
            </w:pPr>
            <w:r w:rsidRPr="00B21C57">
              <w:rPr>
                <w:b/>
              </w:rPr>
              <w:t>Vote: 13 Yes – 0 No</w:t>
            </w:r>
          </w:p>
          <w:p w:rsidR="00B21C57" w:rsidRDefault="00B21C57" w:rsidP="003B6EFE">
            <w:pPr>
              <w:jc w:val="center"/>
            </w:pPr>
          </w:p>
        </w:tc>
      </w:tr>
      <w:tr w:rsidR="00F15932" w:rsidTr="000770A2">
        <w:tc>
          <w:tcPr>
            <w:tcW w:w="1592" w:type="dxa"/>
            <w:shd w:val="clear" w:color="auto" w:fill="BFBFBF" w:themeFill="background1" w:themeFillShade="BF"/>
            <w:vAlign w:val="center"/>
          </w:tcPr>
          <w:p w:rsidR="00F15932" w:rsidRPr="00F15932" w:rsidRDefault="00F15932" w:rsidP="003B6EFE">
            <w:pPr>
              <w:jc w:val="center"/>
              <w:rPr>
                <w:sz w:val="16"/>
                <w:szCs w:val="16"/>
              </w:rPr>
            </w:pPr>
          </w:p>
        </w:tc>
        <w:tc>
          <w:tcPr>
            <w:tcW w:w="1892" w:type="dxa"/>
            <w:shd w:val="clear" w:color="auto" w:fill="BFBFBF" w:themeFill="background1" w:themeFillShade="BF"/>
            <w:vAlign w:val="center"/>
          </w:tcPr>
          <w:p w:rsidR="00F15932" w:rsidRPr="00F15932" w:rsidRDefault="00F15932" w:rsidP="003B6EFE">
            <w:pPr>
              <w:jc w:val="center"/>
              <w:rPr>
                <w:sz w:val="16"/>
                <w:szCs w:val="16"/>
              </w:rPr>
            </w:pPr>
          </w:p>
        </w:tc>
        <w:tc>
          <w:tcPr>
            <w:tcW w:w="6671" w:type="dxa"/>
            <w:shd w:val="clear" w:color="auto" w:fill="BFBFBF" w:themeFill="background1" w:themeFillShade="BF"/>
            <w:vAlign w:val="center"/>
          </w:tcPr>
          <w:p w:rsidR="00F15932" w:rsidRPr="00F15932" w:rsidRDefault="00F15932" w:rsidP="003B6EFE">
            <w:pPr>
              <w:jc w:val="center"/>
              <w:rPr>
                <w:sz w:val="16"/>
                <w:szCs w:val="16"/>
              </w:rPr>
            </w:pPr>
          </w:p>
        </w:tc>
        <w:tc>
          <w:tcPr>
            <w:tcW w:w="3021" w:type="dxa"/>
            <w:shd w:val="clear" w:color="auto" w:fill="BFBFBF" w:themeFill="background1" w:themeFillShade="BF"/>
            <w:vAlign w:val="center"/>
          </w:tcPr>
          <w:p w:rsidR="00F15932" w:rsidRPr="00F15932" w:rsidRDefault="00F15932" w:rsidP="003B6EFE">
            <w:pPr>
              <w:jc w:val="center"/>
              <w:rPr>
                <w:sz w:val="16"/>
                <w:szCs w:val="16"/>
              </w:rPr>
            </w:pPr>
          </w:p>
        </w:tc>
      </w:tr>
      <w:tr w:rsidR="00F15932" w:rsidTr="000770A2">
        <w:tc>
          <w:tcPr>
            <w:tcW w:w="1592" w:type="dxa"/>
            <w:shd w:val="clear" w:color="auto" w:fill="auto"/>
            <w:vAlign w:val="center"/>
          </w:tcPr>
          <w:p w:rsidR="00F15932" w:rsidRPr="004E5D58" w:rsidRDefault="00A84184" w:rsidP="003B6EFE">
            <w:pPr>
              <w:jc w:val="center"/>
            </w:pPr>
            <w:r>
              <w:t>County of Broward</w:t>
            </w:r>
          </w:p>
        </w:tc>
        <w:tc>
          <w:tcPr>
            <w:tcW w:w="1892" w:type="dxa"/>
            <w:shd w:val="clear" w:color="auto" w:fill="auto"/>
            <w:vAlign w:val="center"/>
          </w:tcPr>
          <w:p w:rsidR="00A84184" w:rsidRDefault="00A84184" w:rsidP="004E5D58">
            <w:pPr>
              <w:kinsoku w:val="0"/>
              <w:overflowPunct w:val="0"/>
              <w:autoSpaceDE w:val="0"/>
              <w:autoSpaceDN w:val="0"/>
              <w:adjustRightInd w:val="0"/>
              <w:ind w:left="39"/>
              <w:jc w:val="center"/>
              <w:rPr>
                <w:rFonts w:ascii="Calibri" w:hAnsi="Calibri" w:cs="Calibri"/>
                <w:sz w:val="24"/>
                <w:szCs w:val="24"/>
              </w:rPr>
            </w:pPr>
            <w:bookmarkStart w:id="2" w:name="_bookmark0"/>
            <w:bookmarkStart w:id="3" w:name="_bookmark1"/>
            <w:bookmarkStart w:id="4" w:name="_bookmark2"/>
            <w:bookmarkStart w:id="5" w:name="_bookmark3"/>
            <w:bookmarkStart w:id="6" w:name="_bookmark4"/>
            <w:bookmarkStart w:id="7" w:name="_bookmark5"/>
            <w:bookmarkStart w:id="8" w:name="_bookmark6"/>
            <w:bookmarkStart w:id="9" w:name="_bookmark7"/>
            <w:bookmarkStart w:id="10" w:name="_bookmark8"/>
            <w:bookmarkStart w:id="11" w:name="_bookmark9"/>
            <w:bookmarkStart w:id="12" w:name="_bookmark10"/>
            <w:bookmarkStart w:id="13" w:name="_bookmark11"/>
            <w:bookmarkStart w:id="14" w:name="_bookmark12"/>
            <w:bookmarkStart w:id="15" w:name="_bookmark13"/>
            <w:bookmarkStart w:id="16" w:name="_bookmark14"/>
            <w:bookmarkStart w:id="17" w:name="_bookmark15"/>
            <w:bookmarkStart w:id="18" w:name="_bookmark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Calibri" w:hAnsi="Calibri" w:cs="Calibri"/>
                <w:sz w:val="24"/>
                <w:szCs w:val="24"/>
              </w:rPr>
              <w:t>FBC – Mechanical</w:t>
            </w:r>
          </w:p>
          <w:p w:rsidR="004E5D58" w:rsidRPr="004E5D58" w:rsidRDefault="000770A2" w:rsidP="004E5D58">
            <w:pPr>
              <w:kinsoku w:val="0"/>
              <w:overflowPunct w:val="0"/>
              <w:autoSpaceDE w:val="0"/>
              <w:autoSpaceDN w:val="0"/>
              <w:adjustRightInd w:val="0"/>
              <w:ind w:left="39"/>
              <w:jc w:val="center"/>
              <w:rPr>
                <w:rFonts w:ascii="Calibri" w:hAnsi="Calibri" w:cs="Calibri"/>
                <w:sz w:val="24"/>
                <w:szCs w:val="24"/>
              </w:rPr>
            </w:pPr>
            <w:r>
              <w:rPr>
                <w:rFonts w:ascii="Calibri" w:hAnsi="Calibri" w:cs="Calibri"/>
                <w:sz w:val="24"/>
                <w:szCs w:val="24"/>
              </w:rPr>
              <w:t>sec</w:t>
            </w:r>
            <w:r w:rsidR="00A84184">
              <w:rPr>
                <w:rFonts w:ascii="Calibri" w:hAnsi="Calibri" w:cs="Calibri"/>
                <w:sz w:val="24"/>
                <w:szCs w:val="24"/>
              </w:rPr>
              <w:t xml:space="preserve"> 908.8</w:t>
            </w:r>
          </w:p>
          <w:p w:rsidR="00F15932" w:rsidRPr="00F15932" w:rsidRDefault="00F15932" w:rsidP="003B6EFE">
            <w:pPr>
              <w:jc w:val="center"/>
              <w:rPr>
                <w:sz w:val="16"/>
                <w:szCs w:val="16"/>
              </w:rPr>
            </w:pPr>
          </w:p>
        </w:tc>
        <w:tc>
          <w:tcPr>
            <w:tcW w:w="6671" w:type="dxa"/>
            <w:shd w:val="clear" w:color="auto" w:fill="auto"/>
            <w:vAlign w:val="center"/>
          </w:tcPr>
          <w:p w:rsidR="00C335EA" w:rsidRDefault="00C335EA" w:rsidP="00C335EA">
            <w:r w:rsidRPr="00204913">
              <w:rPr>
                <w:b/>
              </w:rPr>
              <w:t>908.8 Cooling towers.</w:t>
            </w:r>
            <w:r w:rsidRPr="00204913">
              <w:t xml:space="preserve">  Cooling towers, both open circuit and closed circuit type, and evaporative condensers shall comply with Sections 908.8.1 </w:t>
            </w:r>
            <w:r w:rsidRPr="00204913">
              <w:rPr>
                <w:strike/>
              </w:rPr>
              <w:t>and 908.8.2</w:t>
            </w:r>
            <w:r w:rsidRPr="00204913">
              <w:t xml:space="preserve"> thru </w:t>
            </w:r>
            <w:r w:rsidRPr="00204913">
              <w:rPr>
                <w:u w:val="single"/>
              </w:rPr>
              <w:t>908.8.3</w:t>
            </w:r>
            <w:r w:rsidRPr="00204913">
              <w:t xml:space="preserve">. </w:t>
            </w:r>
          </w:p>
          <w:p w:rsidR="00C335EA" w:rsidRDefault="00C335EA" w:rsidP="00C335EA">
            <w:r w:rsidRPr="00204913">
              <w:rPr>
                <w:b/>
              </w:rPr>
              <w:t xml:space="preserve">908.8.1 Conductivity </w:t>
            </w:r>
            <w:r w:rsidRPr="00204913">
              <w:rPr>
                <w:b/>
                <w:strike/>
              </w:rPr>
              <w:t>or</w:t>
            </w:r>
            <w:r w:rsidRPr="00204913">
              <w:rPr>
                <w:b/>
                <w:u w:val="single"/>
              </w:rPr>
              <w:t xml:space="preserve"> and</w:t>
            </w:r>
            <w:r w:rsidRPr="00204913">
              <w:rPr>
                <w:b/>
              </w:rPr>
              <w:t xml:space="preserve"> flow-based control of cycles of concentration.</w:t>
            </w:r>
            <w:r w:rsidRPr="00204913">
              <w:t xml:space="preserve"> </w:t>
            </w:r>
            <w:r w:rsidRPr="00204913">
              <w:rPr>
                <w:strike/>
              </w:rPr>
              <w:t>Cooling towers and evaporative condensers shall include controls that automate system bleed based on conductivity, fraction of metered makeup volume, metered bleed volume, recirculating pump run time or bleed time</w:t>
            </w:r>
            <w:r w:rsidRPr="00204913">
              <w:t xml:space="preserve">. </w:t>
            </w:r>
            <w:r w:rsidRPr="00204913">
              <w:rPr>
                <w:u w:val="single"/>
              </w:rPr>
              <w:t xml:space="preserve">New cooling towers, and evaporative </w:t>
            </w:r>
            <w:r w:rsidRPr="00204913">
              <w:rPr>
                <w:u w:val="single"/>
              </w:rPr>
              <w:lastRenderedPageBreak/>
              <w:t>condensers, including replacements shall be operated with conductivity controllers, as well as make-up and blowdown (bleed off) meters and shall achieve a minimum of 8 cycles of concentration.</w:t>
            </w:r>
            <w:r w:rsidRPr="00204913">
              <w:t xml:space="preserve"> </w:t>
            </w:r>
          </w:p>
          <w:p w:rsidR="00C335EA" w:rsidRDefault="00C335EA" w:rsidP="00C335EA">
            <w:r w:rsidRPr="00204913">
              <w:rPr>
                <w:b/>
              </w:rPr>
              <w:t>908.8.2 Drift eliminators.</w:t>
            </w:r>
            <w:r w:rsidRPr="00204913">
              <w:t xml:space="preserve">   Cooling towers and evaporative condensers shall be equipped with drift eliminators that have a maximum drift rate of </w:t>
            </w:r>
            <w:r w:rsidRPr="00204913">
              <w:rPr>
                <w:u w:val="single"/>
              </w:rPr>
              <w:t>0.002%</w:t>
            </w:r>
            <w:r w:rsidRPr="00204913">
              <w:t xml:space="preserve"> </w:t>
            </w:r>
            <w:r w:rsidRPr="00204913">
              <w:rPr>
                <w:u w:val="single"/>
              </w:rPr>
              <w:t>of the recirculated water volume for counter flow towers and</w:t>
            </w:r>
            <w:r w:rsidRPr="00204913">
              <w:t xml:space="preserve"> 0.005% of the </w:t>
            </w:r>
            <w:r w:rsidRPr="00204913">
              <w:rPr>
                <w:u w:val="single"/>
              </w:rPr>
              <w:t>re</w:t>
            </w:r>
            <w:r w:rsidRPr="00204913">
              <w:t xml:space="preserve">circulated </w:t>
            </w:r>
            <w:r w:rsidRPr="00204913">
              <w:rPr>
                <w:u w:val="single"/>
              </w:rPr>
              <w:t>water flow for crossflow towers</w:t>
            </w:r>
            <w:r w:rsidRPr="00204913">
              <w:t xml:space="preserve"> </w:t>
            </w:r>
            <w:r w:rsidRPr="00204913">
              <w:rPr>
                <w:strike/>
              </w:rPr>
              <w:t>as established in the equipment’s design specifications</w:t>
            </w:r>
            <w:r w:rsidRPr="00204913">
              <w:t>.</w:t>
            </w:r>
          </w:p>
          <w:p w:rsidR="00C335EA" w:rsidRDefault="00C335EA" w:rsidP="00C335EA">
            <w:r w:rsidRPr="00204913">
              <w:rPr>
                <w:b/>
              </w:rPr>
              <w:t xml:space="preserve"> 908.8.3</w:t>
            </w:r>
            <w:r w:rsidRPr="00204913">
              <w:t xml:space="preserve"> </w:t>
            </w:r>
            <w:r w:rsidRPr="00204913">
              <w:rPr>
                <w:u w:val="single"/>
              </w:rPr>
              <w:t xml:space="preserve">An affidavit of compliance demonstrating compliance with section 908.5 Florida Building Code shall be submitted by the property manager/owner to the local water provider every 12 months following system installation. The affidavit shall be signed by the service provider and include all dates of service within the reporting period and verified system operation at a minimum of 8 cycles of concentration. </w:t>
            </w:r>
            <w:r w:rsidRPr="00204913">
              <w:t xml:space="preserve">  </w:t>
            </w:r>
          </w:p>
          <w:p w:rsidR="00C335EA" w:rsidRPr="00204913" w:rsidRDefault="00C335EA" w:rsidP="00C335EA">
            <w:pPr>
              <w:rPr>
                <w:u w:val="single"/>
              </w:rPr>
            </w:pPr>
            <w:r w:rsidRPr="00204913">
              <w:rPr>
                <w:u w:val="single"/>
              </w:rPr>
              <w:t>Exception:  Cooling water tower systems utilizing reclaimed water for the total amount of makeup water are exempt from the provisions of section 908.8.1 thru 908.8.3 Florida Building Code</w:t>
            </w:r>
            <w:r>
              <w:rPr>
                <w:u w:val="single"/>
              </w:rPr>
              <w:t>.</w:t>
            </w:r>
          </w:p>
          <w:p w:rsidR="00C97EAA" w:rsidRPr="004E5D58" w:rsidRDefault="00C97EAA" w:rsidP="006E21EB">
            <w:pPr>
              <w:kinsoku w:val="0"/>
              <w:overflowPunct w:val="0"/>
              <w:autoSpaceDE w:val="0"/>
              <w:autoSpaceDN w:val="0"/>
              <w:adjustRightInd w:val="0"/>
              <w:ind w:left="151" w:right="115"/>
            </w:pPr>
          </w:p>
        </w:tc>
        <w:tc>
          <w:tcPr>
            <w:tcW w:w="3021" w:type="dxa"/>
            <w:shd w:val="clear" w:color="auto" w:fill="auto"/>
            <w:vAlign w:val="center"/>
          </w:tcPr>
          <w:p w:rsidR="00F15932" w:rsidRDefault="00226BB2" w:rsidP="00226BB2">
            <w:pPr>
              <w:jc w:val="center"/>
              <w:rPr>
                <w:b/>
                <w:sz w:val="20"/>
                <w:szCs w:val="20"/>
              </w:rPr>
            </w:pPr>
            <w:proofErr w:type="spellStart"/>
            <w:r>
              <w:rPr>
                <w:b/>
                <w:sz w:val="20"/>
                <w:szCs w:val="20"/>
              </w:rPr>
              <w:lastRenderedPageBreak/>
              <w:t>Quintella</w:t>
            </w:r>
            <w:proofErr w:type="spellEnd"/>
            <w:r>
              <w:rPr>
                <w:b/>
                <w:sz w:val="20"/>
                <w:szCs w:val="20"/>
              </w:rPr>
              <w:t xml:space="preserve"> to Deny  2</w:t>
            </w:r>
            <w:r w:rsidRPr="00226BB2">
              <w:rPr>
                <w:b/>
                <w:sz w:val="20"/>
                <w:szCs w:val="20"/>
                <w:vertAlign w:val="superscript"/>
              </w:rPr>
              <w:t>nd</w:t>
            </w:r>
            <w:r>
              <w:rPr>
                <w:b/>
                <w:sz w:val="20"/>
                <w:szCs w:val="20"/>
              </w:rPr>
              <w:t xml:space="preserve"> Calleja</w:t>
            </w:r>
            <w:r w:rsidRPr="00226BB2">
              <w:rPr>
                <w:b/>
                <w:sz w:val="20"/>
                <w:szCs w:val="20"/>
              </w:rPr>
              <w:t xml:space="preserve"> VOTE:</w:t>
            </w:r>
            <w:r>
              <w:rPr>
                <w:b/>
                <w:sz w:val="20"/>
                <w:szCs w:val="20"/>
              </w:rPr>
              <w:t xml:space="preserve"> 10 Yes – 0 No</w:t>
            </w:r>
          </w:p>
          <w:p w:rsidR="00B21C57" w:rsidRDefault="00B21C57" w:rsidP="00226BB2">
            <w:pPr>
              <w:jc w:val="center"/>
              <w:rPr>
                <w:b/>
                <w:sz w:val="20"/>
                <w:szCs w:val="20"/>
              </w:rPr>
            </w:pP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b/>
              </w:rPr>
            </w:pPr>
            <w:r w:rsidRPr="00B21C57">
              <w:rPr>
                <w:b/>
              </w:rPr>
              <w:t xml:space="preserve">Commission Action to Deny </w:t>
            </w:r>
          </w:p>
          <w:p w:rsidR="00B21C57" w:rsidRPr="00B21C57" w:rsidRDefault="00B21C57" w:rsidP="00B21C5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eastAsia="Times New Roman" w:hAnsi="Arial" w:cs="Arial"/>
                <w:b/>
                <w:color w:val="000000"/>
                <w:kern w:val="2"/>
                <w:sz w:val="19"/>
                <w:szCs w:val="24"/>
              </w:rPr>
            </w:pPr>
            <w:r w:rsidRPr="00B21C57">
              <w:rPr>
                <w:b/>
              </w:rPr>
              <w:t>Vote: 13 Yes – 0 No</w:t>
            </w:r>
          </w:p>
          <w:p w:rsidR="00B21C57" w:rsidRPr="004E5D58" w:rsidRDefault="00B21C57" w:rsidP="00226BB2">
            <w:pPr>
              <w:jc w:val="center"/>
              <w:rPr>
                <w:sz w:val="24"/>
                <w:szCs w:val="24"/>
              </w:rPr>
            </w:pPr>
            <w:bookmarkStart w:id="19" w:name="_GoBack"/>
            <w:bookmarkEnd w:id="19"/>
          </w:p>
        </w:tc>
      </w:tr>
      <w:tr w:rsidR="00F15932" w:rsidTr="000770A2">
        <w:tc>
          <w:tcPr>
            <w:tcW w:w="1592" w:type="dxa"/>
            <w:shd w:val="clear" w:color="auto" w:fill="BFBFBF" w:themeFill="background1" w:themeFillShade="BF"/>
            <w:vAlign w:val="center"/>
          </w:tcPr>
          <w:p w:rsidR="00F15932" w:rsidRPr="00F15932" w:rsidRDefault="00F15932" w:rsidP="003B6EFE">
            <w:pPr>
              <w:jc w:val="center"/>
              <w:rPr>
                <w:sz w:val="16"/>
                <w:szCs w:val="16"/>
              </w:rPr>
            </w:pPr>
          </w:p>
        </w:tc>
        <w:tc>
          <w:tcPr>
            <w:tcW w:w="1892" w:type="dxa"/>
            <w:shd w:val="clear" w:color="auto" w:fill="BFBFBF" w:themeFill="background1" w:themeFillShade="BF"/>
            <w:vAlign w:val="center"/>
          </w:tcPr>
          <w:p w:rsidR="00F15932" w:rsidRPr="00F15932" w:rsidRDefault="00F15932" w:rsidP="003B6EFE">
            <w:pPr>
              <w:jc w:val="center"/>
              <w:rPr>
                <w:sz w:val="16"/>
                <w:szCs w:val="16"/>
              </w:rPr>
            </w:pPr>
          </w:p>
        </w:tc>
        <w:tc>
          <w:tcPr>
            <w:tcW w:w="6671" w:type="dxa"/>
            <w:shd w:val="clear" w:color="auto" w:fill="BFBFBF" w:themeFill="background1" w:themeFillShade="BF"/>
            <w:vAlign w:val="center"/>
          </w:tcPr>
          <w:p w:rsidR="00F15932" w:rsidRPr="00F15932" w:rsidRDefault="00F15932" w:rsidP="003B6EFE">
            <w:pPr>
              <w:jc w:val="center"/>
              <w:rPr>
                <w:sz w:val="16"/>
                <w:szCs w:val="16"/>
              </w:rPr>
            </w:pPr>
          </w:p>
        </w:tc>
        <w:tc>
          <w:tcPr>
            <w:tcW w:w="3021" w:type="dxa"/>
            <w:shd w:val="clear" w:color="auto" w:fill="BFBFBF" w:themeFill="background1" w:themeFillShade="BF"/>
            <w:vAlign w:val="center"/>
          </w:tcPr>
          <w:p w:rsidR="00F15932" w:rsidRPr="00F15932" w:rsidRDefault="00F15932" w:rsidP="003B6EFE">
            <w:pPr>
              <w:jc w:val="center"/>
              <w:rPr>
                <w:sz w:val="16"/>
                <w:szCs w:val="16"/>
              </w:rPr>
            </w:pPr>
          </w:p>
        </w:tc>
      </w:tr>
      <w:tr w:rsidR="004E5D58" w:rsidTr="000770A2">
        <w:tc>
          <w:tcPr>
            <w:tcW w:w="1592" w:type="dxa"/>
            <w:shd w:val="clear" w:color="auto" w:fill="BFBFBF" w:themeFill="background1" w:themeFillShade="BF"/>
            <w:vAlign w:val="center"/>
          </w:tcPr>
          <w:p w:rsidR="004E5D58" w:rsidRPr="00F15932" w:rsidRDefault="004E5D58" w:rsidP="003B6EFE">
            <w:pPr>
              <w:jc w:val="center"/>
              <w:rPr>
                <w:sz w:val="16"/>
                <w:szCs w:val="16"/>
              </w:rPr>
            </w:pPr>
          </w:p>
        </w:tc>
        <w:tc>
          <w:tcPr>
            <w:tcW w:w="1892" w:type="dxa"/>
            <w:shd w:val="clear" w:color="auto" w:fill="BFBFBF" w:themeFill="background1" w:themeFillShade="BF"/>
            <w:vAlign w:val="center"/>
          </w:tcPr>
          <w:p w:rsidR="004E5D58" w:rsidRPr="00F15932" w:rsidRDefault="004E5D58" w:rsidP="003B6EFE">
            <w:pPr>
              <w:jc w:val="center"/>
              <w:rPr>
                <w:sz w:val="16"/>
                <w:szCs w:val="16"/>
              </w:rPr>
            </w:pPr>
          </w:p>
        </w:tc>
        <w:tc>
          <w:tcPr>
            <w:tcW w:w="6671" w:type="dxa"/>
            <w:shd w:val="clear" w:color="auto" w:fill="BFBFBF" w:themeFill="background1" w:themeFillShade="BF"/>
            <w:vAlign w:val="center"/>
          </w:tcPr>
          <w:p w:rsidR="004E5D58" w:rsidRPr="00F15932" w:rsidRDefault="004E5D58" w:rsidP="003B6EFE">
            <w:pPr>
              <w:jc w:val="center"/>
              <w:rPr>
                <w:sz w:val="16"/>
                <w:szCs w:val="16"/>
              </w:rPr>
            </w:pPr>
          </w:p>
        </w:tc>
        <w:tc>
          <w:tcPr>
            <w:tcW w:w="3021" w:type="dxa"/>
            <w:shd w:val="clear" w:color="auto" w:fill="BFBFBF" w:themeFill="background1" w:themeFillShade="BF"/>
            <w:vAlign w:val="center"/>
          </w:tcPr>
          <w:p w:rsidR="004E5D58" w:rsidRPr="00F15932" w:rsidRDefault="004E5D58" w:rsidP="003B6EFE">
            <w:pPr>
              <w:jc w:val="center"/>
              <w:rPr>
                <w:sz w:val="16"/>
                <w:szCs w:val="16"/>
              </w:rPr>
            </w:pPr>
          </w:p>
        </w:tc>
      </w:tr>
    </w:tbl>
    <w:p w:rsidR="002B0E65" w:rsidRDefault="002B0E65"/>
    <w:sectPr w:rsidR="002B0E65" w:rsidSect="00F177D8">
      <w:pgSz w:w="15840" w:h="12240" w:orient="landscape"/>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820" w:hanging="365"/>
      </w:pPr>
      <w:rPr>
        <w:rFonts w:ascii="Calibri" w:hAnsi="Calibri" w:cs="Calibri"/>
        <w:b w:val="0"/>
        <w:bCs w:val="0"/>
        <w:spacing w:val="-11"/>
        <w:w w:val="100"/>
        <w:sz w:val="24"/>
        <w:szCs w:val="24"/>
      </w:rPr>
    </w:lvl>
    <w:lvl w:ilvl="1">
      <w:numFmt w:val="bullet"/>
      <w:lvlText w:val="•"/>
      <w:lvlJc w:val="left"/>
      <w:pPr>
        <w:ind w:left="1696" w:hanging="365"/>
      </w:pPr>
    </w:lvl>
    <w:lvl w:ilvl="2">
      <w:numFmt w:val="bullet"/>
      <w:lvlText w:val="•"/>
      <w:lvlJc w:val="left"/>
      <w:pPr>
        <w:ind w:left="2572" w:hanging="365"/>
      </w:pPr>
    </w:lvl>
    <w:lvl w:ilvl="3">
      <w:numFmt w:val="bullet"/>
      <w:lvlText w:val="•"/>
      <w:lvlJc w:val="left"/>
      <w:pPr>
        <w:ind w:left="3448" w:hanging="365"/>
      </w:pPr>
    </w:lvl>
    <w:lvl w:ilvl="4">
      <w:numFmt w:val="bullet"/>
      <w:lvlText w:val="•"/>
      <w:lvlJc w:val="left"/>
      <w:pPr>
        <w:ind w:left="4324" w:hanging="365"/>
      </w:pPr>
    </w:lvl>
    <w:lvl w:ilvl="5">
      <w:numFmt w:val="bullet"/>
      <w:lvlText w:val="•"/>
      <w:lvlJc w:val="left"/>
      <w:pPr>
        <w:ind w:left="5200" w:hanging="365"/>
      </w:pPr>
    </w:lvl>
    <w:lvl w:ilvl="6">
      <w:numFmt w:val="bullet"/>
      <w:lvlText w:val="•"/>
      <w:lvlJc w:val="left"/>
      <w:pPr>
        <w:ind w:left="6076" w:hanging="365"/>
      </w:pPr>
    </w:lvl>
    <w:lvl w:ilvl="7">
      <w:numFmt w:val="bullet"/>
      <w:lvlText w:val="•"/>
      <w:lvlJc w:val="left"/>
      <w:pPr>
        <w:ind w:left="6952" w:hanging="365"/>
      </w:pPr>
    </w:lvl>
    <w:lvl w:ilvl="8">
      <w:numFmt w:val="bullet"/>
      <w:lvlText w:val="•"/>
      <w:lvlJc w:val="left"/>
      <w:pPr>
        <w:ind w:left="7828" w:hanging="3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E"/>
    <w:rsid w:val="000121C4"/>
    <w:rsid w:val="00013176"/>
    <w:rsid w:val="000770A2"/>
    <w:rsid w:val="00226BB2"/>
    <w:rsid w:val="002B0E65"/>
    <w:rsid w:val="003277A1"/>
    <w:rsid w:val="00377B4A"/>
    <w:rsid w:val="003B6EFE"/>
    <w:rsid w:val="00402711"/>
    <w:rsid w:val="004A7FE1"/>
    <w:rsid w:val="004E5D58"/>
    <w:rsid w:val="005A53AD"/>
    <w:rsid w:val="006E21EB"/>
    <w:rsid w:val="00822F76"/>
    <w:rsid w:val="008562CA"/>
    <w:rsid w:val="008B5C98"/>
    <w:rsid w:val="00917690"/>
    <w:rsid w:val="009F21FD"/>
    <w:rsid w:val="00A84184"/>
    <w:rsid w:val="00B21C57"/>
    <w:rsid w:val="00B83644"/>
    <w:rsid w:val="00C335EA"/>
    <w:rsid w:val="00C8156B"/>
    <w:rsid w:val="00C97EAA"/>
    <w:rsid w:val="00DB3B22"/>
    <w:rsid w:val="00E86950"/>
    <w:rsid w:val="00F15932"/>
    <w:rsid w:val="00F177D8"/>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523D9-39A5-4182-B4E2-3EC7016E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 w:type="paragraph" w:styleId="BalloonText">
    <w:name w:val="Balloon Text"/>
    <w:basedOn w:val="Normal"/>
    <w:link w:val="BalloonTextChar"/>
    <w:uiPriority w:val="99"/>
    <w:semiHidden/>
    <w:unhideWhenUsed/>
    <w:rsid w:val="005A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Marlita</dc:creator>
  <cp:lastModifiedBy>Peters, Marlita</cp:lastModifiedBy>
  <cp:revision>2</cp:revision>
  <cp:lastPrinted>2022-06-02T14:44:00Z</cp:lastPrinted>
  <dcterms:created xsi:type="dcterms:W3CDTF">2022-12-19T16:36:00Z</dcterms:created>
  <dcterms:modified xsi:type="dcterms:W3CDTF">2022-12-19T16:36:00Z</dcterms:modified>
</cp:coreProperties>
</file>